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76748486"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F9308C" w:rsidRPr="00F9308C">
        <w:rPr>
          <w:bCs/>
          <w:sz w:val="24"/>
          <w:szCs w:val="24"/>
          <w:lang w:val="en-GB"/>
        </w:rPr>
        <w:t>1334</w:t>
      </w:r>
    </w:p>
    <w:p w14:paraId="39FC1783" w14:textId="03384571" w:rsidR="0052234F" w:rsidRPr="00566DD3" w:rsidRDefault="00F256F8">
      <w:pPr>
        <w:pStyle w:val="Header"/>
        <w:rPr>
          <w:sz w:val="24"/>
          <w:szCs w:val="24"/>
          <w:lang w:val="en-GB"/>
        </w:rPr>
      </w:pPr>
      <w:r>
        <w:rPr>
          <w:bCs/>
          <w:sz w:val="24"/>
          <w:szCs w:val="24"/>
          <w:lang w:val="en-GB"/>
        </w:rPr>
        <w:t>G</w:t>
      </w:r>
      <w:r w:rsidRPr="00EC1ACB">
        <w:rPr>
          <w:bCs/>
          <w:sz w:val="24"/>
          <w:szCs w:val="24"/>
          <w:lang w:val="en-GB"/>
        </w:rPr>
        <w:t>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3ADAF361"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5.0</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04436567"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C50F82">
        <w:rPr>
          <w:rFonts w:ascii="Arial" w:hAnsi="Arial" w:cs="Arial"/>
          <w:b/>
          <w:bCs/>
          <w:sz w:val="24"/>
        </w:rPr>
        <w:t xml:space="preserve">the </w:t>
      </w:r>
      <w:r w:rsidR="00C65C00">
        <w:rPr>
          <w:rFonts w:ascii="Arial" w:hAnsi="Arial" w:cs="Arial"/>
          <w:b/>
          <w:bCs/>
          <w:sz w:val="24"/>
        </w:rPr>
        <w:t>General Aspects and Framework</w:t>
      </w:r>
      <w:r w:rsidR="00C50F82">
        <w:rPr>
          <w:rFonts w:ascii="Arial" w:hAnsi="Arial" w:cs="Arial"/>
          <w:b/>
          <w:bCs/>
          <w:sz w:val="24"/>
        </w:rPr>
        <w:t xml:space="preserve"> of </w:t>
      </w:r>
      <w:r w:rsidR="00D63AB2">
        <w:rPr>
          <w:rFonts w:ascii="Arial" w:hAnsi="Arial" w:cs="Arial"/>
          <w:b/>
          <w:bCs/>
          <w:sz w:val="24"/>
        </w:rPr>
        <w:t xml:space="preserve">6GR </w:t>
      </w:r>
      <w:r w:rsidR="00C65C00">
        <w:rPr>
          <w:rFonts w:ascii="Arial" w:hAnsi="Arial" w:cs="Arial"/>
          <w:b/>
          <w:bCs/>
          <w:sz w:val="24"/>
        </w:rPr>
        <w:t>Multi-Antenna System</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376763F9"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226BEC" w:rsidRPr="00226BEC">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Improved spectrum utilization and operations taking into account diverse spectrum allocations.</w:t>
      </w:r>
    </w:p>
    <w:p w14:paraId="4DCED88E"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Aim at using common 6G Radio design, which meets mobile broadband service requirements as high priority, to also meet vertical needs.</w:t>
      </w:r>
    </w:p>
    <w:p w14:paraId="1356A0D9"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Aim at a harmonized 6G Radio design for TN and NTN, including their integration.</w:t>
      </w:r>
    </w:p>
    <w:p w14:paraId="7D654F76"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System simplification, including reducing configuration complexity, enabling more efficient Cell/UE management, etc.</w:t>
      </w:r>
    </w:p>
    <w:p w14:paraId="675EC983" w14:textId="30616849" w:rsidR="00C50F82" w:rsidRDefault="00DA3431" w:rsidP="00890721">
      <w:pPr>
        <w:overflowPunct/>
        <w:autoSpaceDE/>
        <w:autoSpaceDN/>
        <w:adjustRightInd/>
        <w:snapToGrid w:val="0"/>
        <w:spacing w:after="0"/>
        <w:ind w:left="1080"/>
        <w:textAlignment w:val="auto"/>
      </w:pPr>
      <w:r w:rsidRPr="00DA3431">
        <w:rPr>
          <w:rFonts w:eastAsia="Times New Roman"/>
          <w:szCs w:val="24"/>
        </w:rPr>
        <w:t>Note1: the term stand-alone architecture does not imply any particular Core network architecture, which is up to SA2 discussion.</w:t>
      </w:r>
    </w:p>
    <w:p w14:paraId="6EC7AEF8" w14:textId="78C358CC" w:rsidR="00C0374D" w:rsidRPr="00C0374D" w:rsidRDefault="00CD04B8" w:rsidP="00DE6A10">
      <w:pPr>
        <w:spacing w:before="120"/>
      </w:pPr>
      <w:r>
        <w:t>Additionally</w:t>
      </w:r>
      <w:r w:rsidR="00370ABC">
        <w:t>, i</w:t>
      </w:r>
      <w:r w:rsidR="00C0374D" w:rsidRPr="00C0374D">
        <w:t xml:space="preserve">n </w:t>
      </w:r>
      <w:r w:rsidR="00121EC9">
        <w:t xml:space="preserve">the </w:t>
      </w:r>
      <w:r>
        <w:t>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226BEC">
            <w:rPr>
              <w:noProof/>
            </w:rPr>
            <w:t xml:space="preserve"> </w:t>
          </w:r>
          <w:r w:rsidR="00226BEC" w:rsidRPr="00226BEC">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226BEC">
            <w:rPr>
              <w:noProof/>
            </w:rPr>
            <w:t xml:space="preserve"> </w:t>
          </w:r>
          <w:r w:rsidR="00226BEC" w:rsidRPr="00226BEC">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226BEC">
            <w:rPr>
              <w:noProof/>
            </w:rPr>
            <w:t xml:space="preserve"> </w:t>
          </w:r>
          <w:r w:rsidR="00226BEC" w:rsidRPr="00226BEC">
            <w:rPr>
              <w:noProof/>
            </w:rPr>
            <w:t>[4]</w:t>
          </w:r>
          <w:r w:rsidR="003A421A">
            <w:fldChar w:fldCharType="end"/>
          </w:r>
        </w:sdtContent>
      </w:sdt>
      <w:r w:rsidR="00C0374D" w:rsidRPr="00C0374D">
        <w:t>, the group reached preliminary agreements on key principles to ensure that the 6GR air</w:t>
      </w:r>
      <w:r w:rsidR="00C0374D" w:rsidRPr="00C0374D">
        <w:noBreakHyphen/>
        <w:t>interface design remains scalable and supports a broad range of device types. Building on those foundations, this meeting will focus on further examining the multi</w:t>
      </w:r>
      <w:r w:rsidR="00C0374D" w:rsidRPr="00C0374D">
        <w:noBreakHyphen/>
        <w:t>antenna system aspects in greater detail. In this contribution, we present our views and studies on the general design considerations and overarching framework for 6GR multi</w:t>
      </w:r>
      <w:r w:rsidR="00C0374D" w:rsidRPr="00C0374D">
        <w:noBreakHyphen/>
        <w:t>antenna operation.</w:t>
      </w:r>
    </w:p>
    <w:p w14:paraId="46B82012" w14:textId="77777777" w:rsidR="00BF588E" w:rsidRDefault="00BF588E" w:rsidP="00BF588E">
      <w:pPr>
        <w:pStyle w:val="Heading1"/>
      </w:pPr>
      <w:r>
        <w:t>Discussion</w:t>
      </w:r>
    </w:p>
    <w:p w14:paraId="5638363E" w14:textId="520DE744" w:rsidR="00014C00" w:rsidRDefault="008F14C9" w:rsidP="00BF588E">
      <w:pPr>
        <w:pStyle w:val="Heading2"/>
      </w:pPr>
      <w:r>
        <w:t>Background and Motivation</w:t>
      </w:r>
    </w:p>
    <w:p w14:paraId="42BEB5A5" w14:textId="31CC19D1" w:rsidR="00BE1D60" w:rsidRDefault="00BE1D60" w:rsidP="00BE1D60">
      <w:pPr>
        <w:rPr>
          <w:lang w:eastAsia="ja-JP"/>
        </w:rPr>
      </w:pPr>
      <w:r>
        <w:t>6G</w:t>
      </w:r>
      <w:r w:rsidR="00B56769">
        <w:t>R</w:t>
      </w:r>
      <w:r>
        <w:t xml:space="preserve"> is envisioned to provide ubiquitous, intelligent, and highly reliable connectivity to support an unprecedented array of services, from immersive XR to highly precise ISAC. Achieving this vision necessitates a fundamental re-evaluation of the underlying architectural and physical layer frameworks. As 6G</w:t>
      </w:r>
      <w:r w:rsidR="00B56769">
        <w:t>R</w:t>
      </w:r>
      <w:r>
        <w:t xml:space="preserve"> evolves, the distinction between TN and NTN is expected to blur, with NTN playing an increasingly vital role in extending coverage, enhancing resilience, and enabling new use cases in remote areas, for maritime/aeronautical connectivity, and for disaster recovery.</w:t>
      </w:r>
    </w:p>
    <w:p w14:paraId="294B51A3" w14:textId="2F91854D" w:rsidR="00BE1D60" w:rsidRDefault="00BE1D60" w:rsidP="00BE1D60">
      <w:r>
        <w:t>While 5G NR has introduced NTN capabilities, 6GR requires a more deeply integrated and harmonized approach. The proliferation of advanced technologies, including multi-TRP, advanced beamforming, AI/ML at the physical layer, and potentially new spectrum bands, demands</w:t>
      </w:r>
      <w:r w:rsidRPr="001D3711">
        <w:t xml:space="preserve"> a cohesive architectural vision.</w:t>
      </w:r>
      <w:r>
        <w:t xml:space="preserve"> Without such a framework, the complexity of managing disparate technologies and network segments (TN and NTN) will hinder 6GR's full potential. </w:t>
      </w:r>
      <w:r w:rsidR="007251B1">
        <w:t>In t</w:t>
      </w:r>
      <w:r>
        <w:t xml:space="preserve">his </w:t>
      </w:r>
      <w:r>
        <w:lastRenderedPageBreak/>
        <w:t>contribution</w:t>
      </w:r>
      <w:r w:rsidR="007251B1">
        <w:t xml:space="preserve"> paper, we</w:t>
      </w:r>
      <w:r>
        <w:t xml:space="preserve"> propose to investigate key framework aspects essential for 6GR, with a particular focus on the seamless integration and harmonization of TN and NTN.</w:t>
      </w:r>
    </w:p>
    <w:p w14:paraId="498793C2" w14:textId="6F740514" w:rsidR="00BE1D60" w:rsidRDefault="00BE1D60" w:rsidP="002F6A1C">
      <w:r>
        <w:t>We expect that during the study phase within the scope of multi-antenna system, RAN1 will define the fundamental architectural an</w:t>
      </w:r>
      <w:r w:rsidRPr="00C60941">
        <w:t xml:space="preserve">d physical layer framework principles for 6GR, ensuring scalability, efficiency, and adaptability across diverse deployment scenarios, with a </w:t>
      </w:r>
      <w:r>
        <w:t>strong emphasis on the harmonization between TN and NTN. Specifically, the study should aim to:</w:t>
      </w:r>
    </w:p>
    <w:p w14:paraId="713C667F" w14:textId="77777777" w:rsidR="00BE1D60" w:rsidRDefault="00BE1D60" w:rsidP="002F6A1C">
      <w:pPr>
        <w:numPr>
          <w:ilvl w:val="0"/>
          <w:numId w:val="28"/>
        </w:numPr>
        <w:overflowPunct/>
        <w:autoSpaceDE/>
        <w:autoSpaceDN/>
        <w:adjustRightInd/>
        <w:spacing w:line="276" w:lineRule="auto"/>
        <w:textAlignment w:val="auto"/>
      </w:pPr>
      <w:r>
        <w:t>Identify key architectural principles for a unified 6GR radio access network that can seamlessly support both TN and NTN deployments.</w:t>
      </w:r>
    </w:p>
    <w:p w14:paraId="3534FAFE" w14:textId="77777777" w:rsidR="00BE1D60" w:rsidRDefault="00BE1D60" w:rsidP="002F6A1C">
      <w:pPr>
        <w:numPr>
          <w:ilvl w:val="0"/>
          <w:numId w:val="28"/>
        </w:numPr>
        <w:overflowPunct/>
        <w:autoSpaceDE/>
        <w:autoSpaceDN/>
        <w:adjustRightInd/>
        <w:spacing w:line="276" w:lineRule="auto"/>
        <w:textAlignment w:val="auto"/>
      </w:pPr>
      <w:r>
        <w:t>Define framework aspects for the harmonization of physical layer procedures and functionalities between TN and NTN, minimizing fragmentation and maximizing commonality.</w:t>
      </w:r>
    </w:p>
    <w:p w14:paraId="4C8DA8A1" w14:textId="77777777" w:rsidR="00BE1D60" w:rsidRDefault="00BE1D60" w:rsidP="002F6A1C">
      <w:pPr>
        <w:numPr>
          <w:ilvl w:val="0"/>
          <w:numId w:val="28"/>
        </w:numPr>
        <w:overflowPunct/>
        <w:autoSpaceDE/>
        <w:autoSpaceDN/>
        <w:adjustRightInd/>
        <w:spacing w:line="276" w:lineRule="auto"/>
        <w:textAlignment w:val="auto"/>
      </w:pPr>
      <w:r>
        <w:t>Investigate the necessary framework enhancements to support advanced 6GR technologies, including multi-TRP, advanced beamforming, and AI/ML at the physical layer, in a unified manner.</w:t>
      </w:r>
    </w:p>
    <w:p w14:paraId="4B80F0BD" w14:textId="77777777" w:rsidR="00BE1D60" w:rsidRPr="00BE1D60" w:rsidRDefault="00BE1D60" w:rsidP="002F6A1C">
      <w:pPr>
        <w:numPr>
          <w:ilvl w:val="0"/>
          <w:numId w:val="28"/>
        </w:numPr>
        <w:overflowPunct/>
        <w:autoSpaceDE/>
        <w:autoSpaceDN/>
        <w:adjustRightInd/>
        <w:spacing w:line="276" w:lineRule="auto"/>
        <w:textAlignment w:val="auto"/>
        <w:rPr>
          <w:lang w:val="en-US"/>
        </w:rPr>
      </w:pPr>
      <w:r>
        <w:t>Propose potential solutions and identify necessary standardization impacts for subsequent work items, laying the foundation for a truly ubiquitous 6GR.</w:t>
      </w:r>
    </w:p>
    <w:p w14:paraId="6D94EBAC" w14:textId="77777777" w:rsidR="000961FB" w:rsidRDefault="000961FB" w:rsidP="000961FB">
      <w:pPr>
        <w:pStyle w:val="Heading2"/>
      </w:pPr>
      <w:r w:rsidRPr="000961FB">
        <w:t>Harmonized and Unified MIMO Framework for 6GR</w:t>
      </w:r>
    </w:p>
    <w:p w14:paraId="05221728" w14:textId="3523ED28" w:rsidR="000961FB" w:rsidRDefault="000961FB" w:rsidP="000961FB">
      <w:r>
        <w:t xml:space="preserve">The advancements proposed for </w:t>
      </w:r>
      <w:r w:rsidR="00365496">
        <w:t>m</w:t>
      </w:r>
      <w:r>
        <w:t>ulti-TRP operations and advanced beamforming, coupled with the deep integration of AI/ML into the physical layer, represent a significant expansion of MIMO capabilities for 6GR. To effectively realize the full potential of these individual advancements and to manage the inherent complexity, a more harmonized and unified MIMO framework is essential for 6GR.</w:t>
      </w:r>
    </w:p>
    <w:p w14:paraId="07DEFBC7" w14:textId="77777777" w:rsidR="000961FB" w:rsidRDefault="000961FB" w:rsidP="000961FB">
      <w:r>
        <w:t>This unified framework aims to provide a cohesive architectural vision that seamlessly integrates diverse MIMO functionalities, moving beyond adding features in isolation. The necessity for such a framework stems from several critical considerations for 6GR:</w:t>
      </w:r>
    </w:p>
    <w:p w14:paraId="106DB526" w14:textId="77777777" w:rsidR="000961FB" w:rsidRDefault="000961FB" w:rsidP="002F6A1C">
      <w:pPr>
        <w:numPr>
          <w:ilvl w:val="0"/>
          <w:numId w:val="28"/>
        </w:numPr>
        <w:overflowPunct/>
        <w:autoSpaceDE/>
        <w:autoSpaceDN/>
        <w:adjustRightInd/>
        <w:spacing w:line="276" w:lineRule="auto"/>
        <w:textAlignment w:val="auto"/>
      </w:pPr>
      <w:r>
        <w:rPr>
          <w:i/>
          <w:iCs/>
        </w:rPr>
        <w:t>Managing Increased Complexity:</w:t>
      </w:r>
      <w:r>
        <w:t> With ultra-large antenna arrays, dynamic multi-TRP coordination, sophisticated precoding, and real-time AI/ML adaptations, the sheer number of possible operating modes and configurations could become unmanageable. A unified framework will establish overarching principles and common signaling mechanisms to simplify interaction between these advanced functionalities.</w:t>
      </w:r>
    </w:p>
    <w:p w14:paraId="5BCB1A97" w14:textId="77777777" w:rsidR="000961FB" w:rsidRDefault="000961FB" w:rsidP="002F6A1C">
      <w:pPr>
        <w:numPr>
          <w:ilvl w:val="0"/>
          <w:numId w:val="28"/>
        </w:numPr>
        <w:overflowPunct/>
        <w:autoSpaceDE/>
        <w:autoSpaceDN/>
        <w:adjustRightInd/>
        <w:spacing w:line="276" w:lineRule="auto"/>
        <w:textAlignment w:val="auto"/>
      </w:pPr>
      <w:r>
        <w:rPr>
          <w:i/>
          <w:iCs/>
        </w:rPr>
        <w:t>Optimizing Resource Efficiency:</w:t>
      </w:r>
      <w:r>
        <w:t> A fragmented approach to MIMO could lead to redundant signaling, inefficient use of reference signals (CSI-RS, DMRS, SRS), and suboptimal resource allocation. A harmonized framework will enable a more efficient design of control plane and data plane signaling, reducing overhead and maximizing spectral efficiency across different MIMO scenarios.</w:t>
      </w:r>
    </w:p>
    <w:p w14:paraId="19C7FE01" w14:textId="4B9A0991" w:rsidR="000961FB" w:rsidRDefault="000961FB" w:rsidP="002F6A1C">
      <w:pPr>
        <w:numPr>
          <w:ilvl w:val="0"/>
          <w:numId w:val="28"/>
        </w:numPr>
        <w:overflowPunct/>
        <w:autoSpaceDE/>
        <w:autoSpaceDN/>
        <w:adjustRightInd/>
        <w:spacing w:line="276" w:lineRule="auto"/>
        <w:textAlignment w:val="auto"/>
      </w:pPr>
      <w:r>
        <w:rPr>
          <w:i/>
          <w:iCs/>
        </w:rPr>
        <w:t>Ensuring Robustness and Adaptability: </w:t>
      </w:r>
      <w:r>
        <w:t xml:space="preserve">6GR must operate reliably across highly dynamic channels, diverse deployment scenarios, and a wide range of services. A unified MIMO framework will provide the underlying architecture to enable seamless and intelligent transitions between different MIMO modes (e.g., from distributed spatial multiplexing to </w:t>
      </w:r>
      <w:r w:rsidR="008F53F4">
        <w:t>C</w:t>
      </w:r>
      <w:r>
        <w:t>JT, or dynamically adapting beamforming based on AI/ML predictions), ensuring robust performance and adaptability to varying conditions.</w:t>
      </w:r>
    </w:p>
    <w:p w14:paraId="28683C77" w14:textId="77777777" w:rsidR="000961FB" w:rsidRDefault="000961FB" w:rsidP="002F6A1C">
      <w:pPr>
        <w:numPr>
          <w:ilvl w:val="0"/>
          <w:numId w:val="28"/>
        </w:numPr>
        <w:overflowPunct/>
        <w:autoSpaceDE/>
        <w:autoSpaceDN/>
        <w:adjustRightInd/>
        <w:spacing w:line="276" w:lineRule="auto"/>
        <w:textAlignment w:val="auto"/>
      </w:pPr>
      <w:r>
        <w:rPr>
          <w:i/>
          <w:iCs/>
        </w:rPr>
        <w:t>Facilitating Future Innovation: </w:t>
      </w:r>
      <w:r>
        <w:t>By establishing a flexible and extensible foundation, a unified framework will allow for the integration of future MIMO innovations (e.g., novel antenna technologies, new AI/ML models, advanced ISAC capabilities) without requiring a complete redesign of the fundamental MIMO structure.</w:t>
      </w:r>
    </w:p>
    <w:p w14:paraId="41E45B60" w14:textId="77777777" w:rsidR="000961FB" w:rsidRDefault="000961FB" w:rsidP="002F6A1C">
      <w:pPr>
        <w:numPr>
          <w:ilvl w:val="0"/>
          <w:numId w:val="28"/>
        </w:numPr>
        <w:overflowPunct/>
        <w:autoSpaceDE/>
        <w:autoSpaceDN/>
        <w:adjustRightInd/>
        <w:spacing w:line="276" w:lineRule="auto"/>
        <w:textAlignment w:val="auto"/>
      </w:pPr>
      <w:r>
        <w:rPr>
          <w:i/>
          <w:iCs/>
        </w:rPr>
        <w:t>Seamless Integration of Multi-TRP and Advanced Beamforming:</w:t>
      </w:r>
      <w:r>
        <w:t> The framework will explicitly define how multi-TRP operations (e.g., CJT, NCJT, DPS) and advanced beamforming techniques (e.g., ultra-narrow beams, null-steering, predictive tracking) are not merely separate features but are deeply integrated and orchestrated to work synergistically, maximizing spatial gains and interference management capabilities.</w:t>
      </w:r>
    </w:p>
    <w:p w14:paraId="709249EA" w14:textId="77777777" w:rsidR="000961FB" w:rsidRDefault="000961FB" w:rsidP="000961FB">
      <w:r>
        <w:t>The study will therefore investigate the architectural principles, signaling commonalities, and inter-dependencies required to establish this harmonized and unified MIMO framework. This includes exploring:</w:t>
      </w:r>
    </w:p>
    <w:p w14:paraId="372A8042" w14:textId="77777777" w:rsidR="000961FB" w:rsidRDefault="000961FB" w:rsidP="002F6A1C">
      <w:pPr>
        <w:numPr>
          <w:ilvl w:val="0"/>
          <w:numId w:val="28"/>
        </w:numPr>
        <w:overflowPunct/>
        <w:autoSpaceDE/>
        <w:autoSpaceDN/>
        <w:adjustRightInd/>
        <w:spacing w:line="276" w:lineRule="auto"/>
        <w:textAlignment w:val="auto"/>
      </w:pPr>
      <w:r>
        <w:rPr>
          <w:i/>
          <w:iCs/>
        </w:rPr>
        <w:lastRenderedPageBreak/>
        <w:t>Common Reference Signal Design:</w:t>
      </w:r>
      <w:r>
        <w:t> Developing common principles for CSI-RS, DMRS, and SRS that can efficiently support both multi-TRP coordination and advanced beamforming, while also being amenable to AI/ML enhancements.</w:t>
      </w:r>
    </w:p>
    <w:p w14:paraId="74872D54" w14:textId="77777777" w:rsidR="000961FB" w:rsidRDefault="000961FB" w:rsidP="002F6A1C">
      <w:pPr>
        <w:numPr>
          <w:ilvl w:val="0"/>
          <w:numId w:val="28"/>
        </w:numPr>
        <w:overflowPunct/>
        <w:autoSpaceDE/>
        <w:autoSpaceDN/>
        <w:adjustRightInd/>
        <w:spacing w:line="276" w:lineRule="auto"/>
        <w:textAlignment w:val="auto"/>
      </w:pPr>
      <w:r>
        <w:rPr>
          <w:i/>
          <w:iCs/>
        </w:rPr>
        <w:t>Unified CSI Acquisition and Feedback: </w:t>
      </w:r>
      <w:r>
        <w:t>Designing a flexible and efficient CSI acquisition and feedback mechanism that can cater to various MIMO scenarios, from highly detailed channel information for coherent JT to compressed feedback for AI/ML-driven precoding.</w:t>
      </w:r>
    </w:p>
    <w:p w14:paraId="00E2E90E" w14:textId="77777777" w:rsidR="000961FB" w:rsidRDefault="000961FB" w:rsidP="002F6A1C">
      <w:pPr>
        <w:numPr>
          <w:ilvl w:val="0"/>
          <w:numId w:val="28"/>
        </w:numPr>
        <w:overflowPunct/>
        <w:autoSpaceDE/>
        <w:autoSpaceDN/>
        <w:adjustRightInd/>
        <w:spacing w:line="276" w:lineRule="auto"/>
        <w:textAlignment w:val="auto"/>
      </w:pPr>
      <w:r>
        <w:rPr>
          <w:i/>
          <w:iCs/>
        </w:rPr>
        <w:t>Integrated Beam Management: </w:t>
      </w:r>
      <w:r>
        <w:t>Developing a comprehensive beam management framework that seamlessly handles beam discovery, measurement, reporting, and switching across single-TRP and multi-TRP configurations, leveraging AI/ML for prediction and adaptation.</w:t>
      </w:r>
    </w:p>
    <w:p w14:paraId="1C13632E" w14:textId="77777777" w:rsidR="000961FB" w:rsidRDefault="000961FB" w:rsidP="002F6A1C">
      <w:pPr>
        <w:numPr>
          <w:ilvl w:val="0"/>
          <w:numId w:val="28"/>
        </w:numPr>
        <w:overflowPunct/>
        <w:autoSpaceDE/>
        <w:autoSpaceDN/>
        <w:adjustRightInd/>
        <w:spacing w:line="276" w:lineRule="auto"/>
        <w:textAlignment w:val="auto"/>
      </w:pPr>
      <w:r>
        <w:rPr>
          <w:i/>
          <w:iCs/>
        </w:rPr>
        <w:t>Cross-Layer Optimization:</w:t>
      </w:r>
      <w:r>
        <w:t> Defining how information from higher layers (e.g., traffic type, latency requirements) and from AI/ML inference can inform and optimize physical layer MIMO decisions.</w:t>
      </w:r>
    </w:p>
    <w:p w14:paraId="2ED08BD1" w14:textId="6C71295D" w:rsidR="000961FB" w:rsidRDefault="000961FB" w:rsidP="000961FB">
      <w:r>
        <w:t>By pursuing a harmonized and unified MIMO framework, 6GR can unlock unprecedented levels of performance, efficiency, and adaptability, ensuring that the sum of its advanced features is greater than its individual parts.</w:t>
      </w:r>
      <w:r w:rsidR="00760963">
        <w:t xml:space="preserve"> Based on the </w:t>
      </w:r>
      <w:r w:rsidR="0018278A">
        <w:t xml:space="preserve">above </w:t>
      </w:r>
      <w:r w:rsidR="00760963">
        <w:t>discuss</w:t>
      </w:r>
      <w:r w:rsidR="0018278A">
        <w:t>ion, we propose the following:</w:t>
      </w:r>
    </w:p>
    <w:p w14:paraId="1190A76F" w14:textId="214512B2" w:rsidR="000961FB" w:rsidRPr="00EA3C23" w:rsidRDefault="000961FB" w:rsidP="00EA3C23">
      <w:pPr>
        <w:spacing w:after="0"/>
      </w:pPr>
      <w:bookmarkStart w:id="0" w:name="Proposal_1"/>
      <w:r w:rsidRPr="009431CE">
        <w:rPr>
          <w:b/>
          <w:bCs/>
          <w:i/>
          <w:iCs/>
        </w:rPr>
        <w:t xml:space="preserve">Proposal </w:t>
      </w:r>
      <w:r w:rsidR="00690119" w:rsidRPr="009431CE">
        <w:rPr>
          <w:b/>
          <w:bCs/>
          <w:i/>
          <w:iCs/>
        </w:rPr>
        <w:t>1</w:t>
      </w:r>
      <w:r w:rsidRPr="009431CE">
        <w:rPr>
          <w:b/>
          <w:bCs/>
          <w:i/>
          <w:iCs/>
        </w:rPr>
        <w:t>:</w:t>
      </w:r>
      <w:r w:rsidRPr="00EA3C23">
        <w:rPr>
          <w:i/>
          <w:iCs/>
        </w:rPr>
        <w:t> </w:t>
      </w:r>
      <w:r w:rsidR="00690119" w:rsidRPr="00EA3C23">
        <w:rPr>
          <w:i/>
          <w:iCs/>
        </w:rPr>
        <w:t>S</w:t>
      </w:r>
      <w:r w:rsidRPr="00EA3C23">
        <w:rPr>
          <w:i/>
          <w:iCs/>
        </w:rPr>
        <w:t xml:space="preserve">tudy </w:t>
      </w:r>
      <w:r w:rsidR="007D7374" w:rsidRPr="00EA3C23">
        <w:rPr>
          <w:i/>
          <w:iCs/>
        </w:rPr>
        <w:t>the development</w:t>
      </w:r>
      <w:r w:rsidR="00EA3C23" w:rsidRPr="00EA3C23">
        <w:rPr>
          <w:i/>
          <w:iCs/>
        </w:rPr>
        <w:t xml:space="preserve"> of</w:t>
      </w:r>
      <w:r w:rsidRPr="00EA3C23">
        <w:rPr>
          <w:i/>
          <w:iCs/>
        </w:rPr>
        <w:t xml:space="preserve"> a harmonized and unified MIMO framework that natively </w:t>
      </w:r>
      <w:r w:rsidR="00EA3C23" w:rsidRPr="00EA3C23">
        <w:rPr>
          <w:i/>
          <w:iCs/>
        </w:rPr>
        <w:t>incorporates:</w:t>
      </w:r>
    </w:p>
    <w:p w14:paraId="757408A1" w14:textId="77777777" w:rsidR="000961FB" w:rsidRPr="00EA3C23" w:rsidRDefault="000961FB" w:rsidP="00EA3C23">
      <w:pPr>
        <w:pStyle w:val="ListParagraph"/>
        <w:numPr>
          <w:ilvl w:val="0"/>
          <w:numId w:val="31"/>
        </w:numPr>
        <w:spacing w:line="276" w:lineRule="auto"/>
        <w:rPr>
          <w:i/>
          <w:iCs/>
          <w:sz w:val="20"/>
          <w:szCs w:val="20"/>
        </w:rPr>
      </w:pPr>
      <w:r w:rsidRPr="00EA3C23">
        <w:rPr>
          <w:i/>
          <w:iCs/>
          <w:sz w:val="20"/>
          <w:szCs w:val="20"/>
        </w:rPr>
        <w:t>multi-TRP operations,</w:t>
      </w:r>
    </w:p>
    <w:p w14:paraId="7F7BECA0" w14:textId="77777777" w:rsidR="000961FB" w:rsidRPr="00EA3C23" w:rsidRDefault="000961FB" w:rsidP="00EA3C23">
      <w:pPr>
        <w:pStyle w:val="ListParagraph"/>
        <w:numPr>
          <w:ilvl w:val="0"/>
          <w:numId w:val="31"/>
        </w:numPr>
        <w:spacing w:line="276" w:lineRule="auto"/>
        <w:rPr>
          <w:i/>
          <w:iCs/>
          <w:sz w:val="20"/>
          <w:szCs w:val="20"/>
        </w:rPr>
      </w:pPr>
      <w:r w:rsidRPr="00EA3C23">
        <w:rPr>
          <w:i/>
          <w:iCs/>
          <w:sz w:val="20"/>
          <w:szCs w:val="20"/>
        </w:rPr>
        <w:t xml:space="preserve">advanced beamforming capabilities, </w:t>
      </w:r>
    </w:p>
    <w:p w14:paraId="5031C084" w14:textId="7B879E46" w:rsidR="000961FB" w:rsidRPr="00EA3C23" w:rsidRDefault="000961FB" w:rsidP="00EA3C23">
      <w:pPr>
        <w:pStyle w:val="ListParagraph"/>
        <w:numPr>
          <w:ilvl w:val="0"/>
          <w:numId w:val="31"/>
        </w:numPr>
        <w:spacing w:line="276" w:lineRule="auto"/>
        <w:rPr>
          <w:i/>
          <w:iCs/>
          <w:sz w:val="20"/>
          <w:szCs w:val="20"/>
          <w:lang w:val="en-GB"/>
        </w:rPr>
      </w:pPr>
      <w:r w:rsidRPr="00EA3C23">
        <w:rPr>
          <w:i/>
          <w:iCs/>
          <w:sz w:val="20"/>
          <w:szCs w:val="20"/>
          <w:lang w:val="en-GB"/>
        </w:rPr>
        <w:t>AI/ML-driven physical layer optimizations</w:t>
      </w:r>
      <w:r w:rsidR="00404EBD">
        <w:rPr>
          <w:i/>
          <w:iCs/>
          <w:sz w:val="20"/>
          <w:szCs w:val="20"/>
          <w:lang w:val="en-GB"/>
        </w:rPr>
        <w:t>,</w:t>
      </w:r>
    </w:p>
    <w:p w14:paraId="14A73625" w14:textId="35DCB22A" w:rsidR="00690119" w:rsidRPr="00EA3C23" w:rsidRDefault="00EA3C23" w:rsidP="00EA3C23">
      <w:pPr>
        <w:spacing w:line="300" w:lineRule="atLeast"/>
        <w:rPr>
          <w:i/>
          <w:iCs/>
        </w:rPr>
      </w:pPr>
      <w:r w:rsidRPr="00EA3C23">
        <w:rPr>
          <w:i/>
          <w:iCs/>
        </w:rPr>
        <w:t xml:space="preserve">with the aim of enabling </w:t>
      </w:r>
      <w:r w:rsidR="00690119" w:rsidRPr="00EA3C23">
        <w:rPr>
          <w:i/>
          <w:iCs/>
        </w:rPr>
        <w:t>a flexible and scalable architecture for enhanced spectral efficiency, improved link robustness, and system adaptability across diverse 6GR scenarios.</w:t>
      </w:r>
      <w:bookmarkEnd w:id="0"/>
    </w:p>
    <w:p w14:paraId="1FB374AD" w14:textId="17B58BF7" w:rsidR="000961FB" w:rsidRDefault="000961FB" w:rsidP="000961FB">
      <w:pPr>
        <w:pStyle w:val="Heading2"/>
      </w:pPr>
      <w:r w:rsidRPr="000961FB">
        <w:t>TN and NTN</w:t>
      </w:r>
      <w:r w:rsidR="002E7A45">
        <w:t xml:space="preserve"> Harmonization</w:t>
      </w:r>
    </w:p>
    <w:p w14:paraId="428FD9D4" w14:textId="7F318F7F" w:rsidR="000961FB" w:rsidRPr="00BA4AF0" w:rsidRDefault="000961FB" w:rsidP="000961FB">
      <w:r>
        <w:t xml:space="preserve">To achieve truly ubiquitous 6G, a foundational framework for harmonizing TN and NTN operation is critical. While 5G NR NTN introduced initial steps, 6GR requires a deeper level of integration to maximize commonality, minimize </w:t>
      </w:r>
      <w:r w:rsidRPr="00BA4AF0">
        <w:t>complexity, and enable seamless user experience across network types. This framework should consider</w:t>
      </w:r>
      <w:r w:rsidR="00A96359">
        <w:t xml:space="preserve"> the following principles</w:t>
      </w:r>
      <w:r w:rsidRPr="00BA4AF0">
        <w:t>:</w:t>
      </w:r>
    </w:p>
    <w:p w14:paraId="7684AFA9" w14:textId="77777777" w:rsidR="000961FB" w:rsidRDefault="000961FB" w:rsidP="002F6A1C">
      <w:pPr>
        <w:numPr>
          <w:ilvl w:val="0"/>
          <w:numId w:val="28"/>
        </w:numPr>
        <w:overflowPunct/>
        <w:autoSpaceDE/>
        <w:autoSpaceDN/>
        <w:adjustRightInd/>
        <w:spacing w:line="276" w:lineRule="auto"/>
        <w:textAlignment w:val="auto"/>
      </w:pPr>
      <w:r w:rsidRPr="00647831">
        <w:rPr>
          <w:i/>
          <w:iCs/>
        </w:rPr>
        <w:t>Common Waveform and Frame Structure:</w:t>
      </w:r>
      <w:r w:rsidRPr="00BA4AF0">
        <w:t> Investigating whether a more unified waveform design and frame structure can support both TN and NTN, accommodating the unique challenges of NTN (e.g., large propagation delays and high Doppler shifts whose values are</w:t>
      </w:r>
      <w:r>
        <w:t xml:space="preserve"> potentially predictable over time) while maintaining efficiency for TN.</w:t>
      </w:r>
    </w:p>
    <w:p w14:paraId="5B53D36A" w14:textId="77777777" w:rsidR="000961FB" w:rsidRDefault="000961FB" w:rsidP="002F6A1C">
      <w:pPr>
        <w:numPr>
          <w:ilvl w:val="0"/>
          <w:numId w:val="28"/>
        </w:numPr>
        <w:overflowPunct/>
        <w:autoSpaceDE/>
        <w:autoSpaceDN/>
        <w:adjustRightInd/>
        <w:spacing w:line="276" w:lineRule="auto"/>
        <w:textAlignment w:val="auto"/>
      </w:pPr>
      <w:r w:rsidRPr="00647831">
        <w:rPr>
          <w:i/>
          <w:iCs/>
        </w:rPr>
        <w:t>Reference Signal and Control Channel Commonality: </w:t>
      </w:r>
      <w:r>
        <w:t>Maximizing commonality in the design of reference signals (CSI-RS, DMRS, SRS) and control channels (PDCCH, PUCCH) to simplify UE and NodeB implementations and facilitate seamless handovers between TN and NTN.</w:t>
      </w:r>
    </w:p>
    <w:p w14:paraId="39E26E70" w14:textId="77777777" w:rsidR="000961FB" w:rsidRDefault="000961FB" w:rsidP="002F6A1C">
      <w:pPr>
        <w:numPr>
          <w:ilvl w:val="0"/>
          <w:numId w:val="28"/>
        </w:numPr>
        <w:overflowPunct/>
        <w:autoSpaceDE/>
        <w:autoSpaceDN/>
        <w:adjustRightInd/>
        <w:spacing w:line="276" w:lineRule="auto"/>
        <w:textAlignment w:val="auto"/>
      </w:pPr>
      <w:r w:rsidRPr="00647831">
        <w:rPr>
          <w:i/>
          <w:iCs/>
        </w:rPr>
        <w:t>Harmonized Beam Management:</w:t>
      </w:r>
      <w:r>
        <w:t> Extending the integrated beam management framework (discussed in Section 3) to explicitly cover NTN scenarios, addressing the unique characteristics of satellite/HAPS beams (e.g., wider footprints, slower changes, but potential for rapid beam steering).</w:t>
      </w:r>
    </w:p>
    <w:p w14:paraId="4FDC2352" w14:textId="4B43E5B8" w:rsidR="001F671D" w:rsidRDefault="001F671D" w:rsidP="001F671D">
      <w:pPr>
        <w:overflowPunct/>
        <w:autoSpaceDE/>
        <w:autoSpaceDN/>
        <w:adjustRightInd/>
        <w:spacing w:line="276" w:lineRule="auto"/>
        <w:textAlignment w:val="auto"/>
      </w:pPr>
      <w:r>
        <w:t>Based on the above discussion, we propose the following:</w:t>
      </w:r>
    </w:p>
    <w:p w14:paraId="3EB38BDD" w14:textId="48C0237B" w:rsidR="000961FB" w:rsidRPr="00B7364E" w:rsidRDefault="000961FB" w:rsidP="00B7364E">
      <w:pPr>
        <w:spacing w:after="0"/>
        <w:rPr>
          <w:i/>
          <w:iCs/>
        </w:rPr>
      </w:pPr>
      <w:bookmarkStart w:id="1" w:name="Proposal_2"/>
      <w:r w:rsidRPr="00B7364E">
        <w:rPr>
          <w:b/>
          <w:bCs/>
          <w:i/>
          <w:iCs/>
        </w:rPr>
        <w:t xml:space="preserve">Proposal </w:t>
      </w:r>
      <w:r w:rsidR="00AA7655" w:rsidRPr="00B7364E">
        <w:rPr>
          <w:b/>
          <w:bCs/>
          <w:i/>
          <w:iCs/>
        </w:rPr>
        <w:t>2</w:t>
      </w:r>
      <w:r w:rsidRPr="00B7364E">
        <w:rPr>
          <w:b/>
          <w:bCs/>
          <w:i/>
          <w:iCs/>
        </w:rPr>
        <w:t>:</w:t>
      </w:r>
      <w:r w:rsidRPr="00B7364E">
        <w:rPr>
          <w:i/>
          <w:iCs/>
        </w:rPr>
        <w:t> </w:t>
      </w:r>
      <w:r w:rsidR="00404EBD" w:rsidRPr="00B7364E">
        <w:rPr>
          <w:i/>
          <w:iCs/>
        </w:rPr>
        <w:t xml:space="preserve">Study </w:t>
      </w:r>
      <w:r w:rsidRPr="00B7364E">
        <w:rPr>
          <w:i/>
          <w:iCs/>
        </w:rPr>
        <w:t>unified air</w:t>
      </w:r>
      <w:r w:rsidR="00C36680" w:rsidRPr="00B7364E">
        <w:rPr>
          <w:i/>
          <w:iCs/>
        </w:rPr>
        <w:t>-</w:t>
      </w:r>
      <w:r w:rsidRPr="00B7364E">
        <w:rPr>
          <w:i/>
          <w:iCs/>
        </w:rPr>
        <w:t xml:space="preserve">interface principles </w:t>
      </w:r>
      <w:r w:rsidR="002562B8" w:rsidRPr="00B7364E">
        <w:rPr>
          <w:i/>
          <w:iCs/>
        </w:rPr>
        <w:t>to support</w:t>
      </w:r>
      <w:r w:rsidRPr="00B7364E">
        <w:rPr>
          <w:i/>
          <w:iCs/>
        </w:rPr>
        <w:t xml:space="preserve"> TN/NTN harmonization, including</w:t>
      </w:r>
      <w:r w:rsidR="002562B8" w:rsidRPr="00B7364E">
        <w:rPr>
          <w:i/>
          <w:iCs/>
        </w:rPr>
        <w:t>:</w:t>
      </w:r>
    </w:p>
    <w:p w14:paraId="09097A93" w14:textId="40955907" w:rsidR="000961FB" w:rsidRPr="00B7364E" w:rsidRDefault="000961FB" w:rsidP="00B7364E">
      <w:pPr>
        <w:pStyle w:val="ListParagraph"/>
        <w:numPr>
          <w:ilvl w:val="0"/>
          <w:numId w:val="33"/>
        </w:numPr>
        <w:spacing w:line="276" w:lineRule="auto"/>
        <w:rPr>
          <w:i/>
          <w:iCs/>
          <w:sz w:val="20"/>
          <w:szCs w:val="20"/>
          <w:lang w:val="en-GB"/>
        </w:rPr>
      </w:pPr>
      <w:r w:rsidRPr="00B7364E">
        <w:rPr>
          <w:i/>
          <w:iCs/>
          <w:sz w:val="20"/>
          <w:szCs w:val="20"/>
          <w:lang w:val="en-GB"/>
        </w:rPr>
        <w:t>common waveform</w:t>
      </w:r>
      <w:r w:rsidR="002562B8" w:rsidRPr="00B7364E">
        <w:rPr>
          <w:i/>
          <w:iCs/>
          <w:sz w:val="20"/>
          <w:szCs w:val="20"/>
          <w:lang w:val="en-GB"/>
        </w:rPr>
        <w:t xml:space="preserve"> and </w:t>
      </w:r>
      <w:r w:rsidRPr="00B7364E">
        <w:rPr>
          <w:i/>
          <w:iCs/>
          <w:sz w:val="20"/>
          <w:szCs w:val="20"/>
          <w:lang w:val="en-GB"/>
        </w:rPr>
        <w:t>frame structure</w:t>
      </w:r>
      <w:r w:rsidR="002562B8" w:rsidRPr="00B7364E">
        <w:rPr>
          <w:i/>
          <w:iCs/>
          <w:sz w:val="20"/>
          <w:szCs w:val="20"/>
          <w:lang w:val="en-GB"/>
        </w:rPr>
        <w:t xml:space="preserve"> foundation</w:t>
      </w:r>
      <w:r w:rsidR="0057368B" w:rsidRPr="00B7364E">
        <w:rPr>
          <w:i/>
          <w:iCs/>
          <w:sz w:val="20"/>
          <w:szCs w:val="20"/>
          <w:lang w:val="en-GB"/>
        </w:rPr>
        <w:t>,</w:t>
      </w:r>
    </w:p>
    <w:p w14:paraId="4BB01259" w14:textId="3C854247" w:rsidR="000961FB" w:rsidRPr="00B7364E" w:rsidRDefault="000961FB" w:rsidP="00B7364E">
      <w:pPr>
        <w:pStyle w:val="ListParagraph"/>
        <w:numPr>
          <w:ilvl w:val="0"/>
          <w:numId w:val="33"/>
        </w:numPr>
        <w:spacing w:line="276" w:lineRule="auto"/>
        <w:rPr>
          <w:i/>
          <w:iCs/>
          <w:sz w:val="20"/>
          <w:szCs w:val="20"/>
          <w:lang w:val="en-GB"/>
        </w:rPr>
      </w:pPr>
      <w:r w:rsidRPr="00B7364E">
        <w:rPr>
          <w:i/>
          <w:iCs/>
          <w:sz w:val="20"/>
          <w:szCs w:val="20"/>
          <w:lang w:val="en-GB"/>
        </w:rPr>
        <w:t>maximization of reference signal and control channel commonality</w:t>
      </w:r>
      <w:r w:rsidR="0057368B" w:rsidRPr="00B7364E">
        <w:rPr>
          <w:i/>
          <w:iCs/>
          <w:sz w:val="20"/>
          <w:szCs w:val="20"/>
          <w:lang w:val="en-GB"/>
        </w:rPr>
        <w:t>,</w:t>
      </w:r>
    </w:p>
    <w:p w14:paraId="3CBCBBF8" w14:textId="1B7CB743" w:rsidR="000961FB" w:rsidRPr="00B7364E" w:rsidRDefault="000961FB" w:rsidP="00B7364E">
      <w:pPr>
        <w:pStyle w:val="ListParagraph"/>
        <w:numPr>
          <w:ilvl w:val="0"/>
          <w:numId w:val="33"/>
        </w:numPr>
        <w:spacing w:line="276" w:lineRule="auto"/>
        <w:rPr>
          <w:i/>
          <w:iCs/>
          <w:sz w:val="20"/>
          <w:szCs w:val="20"/>
          <w:lang w:val="en-GB"/>
        </w:rPr>
      </w:pPr>
      <w:r w:rsidRPr="00B7364E">
        <w:rPr>
          <w:i/>
          <w:iCs/>
          <w:sz w:val="20"/>
          <w:szCs w:val="20"/>
          <w:lang w:val="en-GB"/>
        </w:rPr>
        <w:t xml:space="preserve">harmonized beam management that </w:t>
      </w:r>
      <w:r w:rsidR="00D126D6" w:rsidRPr="00B7364E">
        <w:rPr>
          <w:i/>
          <w:iCs/>
          <w:sz w:val="20"/>
          <w:szCs w:val="20"/>
          <w:lang w:val="en-GB"/>
        </w:rPr>
        <w:t>that also accounts for</w:t>
      </w:r>
      <w:r w:rsidRPr="00B7364E">
        <w:rPr>
          <w:i/>
          <w:iCs/>
          <w:sz w:val="20"/>
          <w:szCs w:val="20"/>
          <w:lang w:val="en-GB"/>
        </w:rPr>
        <w:t xml:space="preserve"> NTN-specific characteristics</w:t>
      </w:r>
      <w:r w:rsidR="005D6EA7" w:rsidRPr="00B7364E">
        <w:rPr>
          <w:i/>
          <w:iCs/>
          <w:sz w:val="20"/>
          <w:szCs w:val="20"/>
          <w:lang w:val="en-GB"/>
        </w:rPr>
        <w:t>,</w:t>
      </w:r>
    </w:p>
    <w:p w14:paraId="69FCDEC3" w14:textId="77777777" w:rsidR="00B7364E" w:rsidRPr="00B7364E" w:rsidRDefault="00D126D6" w:rsidP="00B7364E">
      <w:pPr>
        <w:spacing w:after="160" w:line="276" w:lineRule="auto"/>
        <w:rPr>
          <w:i/>
          <w:iCs/>
        </w:rPr>
      </w:pPr>
      <w:r w:rsidRPr="00B7364E">
        <w:rPr>
          <w:i/>
          <w:iCs/>
        </w:rPr>
        <w:t xml:space="preserve">with the aim of enabling </w:t>
      </w:r>
      <w:r w:rsidR="00B7364E" w:rsidRPr="00B7364E">
        <w:rPr>
          <w:i/>
          <w:iCs/>
        </w:rPr>
        <w:t>coherent operation across TN and NTN while minimizing unnecessary divergence in the 6GR air</w:t>
      </w:r>
      <w:r w:rsidR="00B7364E" w:rsidRPr="00B7364E">
        <w:rPr>
          <w:i/>
          <w:iCs/>
        </w:rPr>
        <w:noBreakHyphen/>
        <w:t>interface.</w:t>
      </w:r>
      <w:bookmarkEnd w:id="1"/>
    </w:p>
    <w:p w14:paraId="2F83F88E" w14:textId="591149DB" w:rsidR="000961FB" w:rsidRPr="009431CE" w:rsidRDefault="000961FB" w:rsidP="00712022">
      <w:pPr>
        <w:pStyle w:val="Heading2"/>
        <w:rPr>
          <w:szCs w:val="28"/>
        </w:rPr>
      </w:pPr>
      <w:r w:rsidRPr="00712022">
        <w:lastRenderedPageBreak/>
        <w:t>Seamless</w:t>
      </w:r>
      <w:r w:rsidRPr="009431CE">
        <w:rPr>
          <w:szCs w:val="28"/>
        </w:rPr>
        <w:t xml:space="preserve"> Mobility and Connectivity</w:t>
      </w:r>
    </w:p>
    <w:p w14:paraId="74E322CB" w14:textId="77777777" w:rsidR="000961FB" w:rsidRDefault="000961FB" w:rsidP="000961FB">
      <w:r>
        <w:t>To deliver on the 6GR vision of ubiquitous and uninterrupted connectivity, a unified framework for seamless mobility and connectivity is paramount. This encompasses not only smooth transitions between different network types (TN and NTN) but also significantly enhanced mobility management </w:t>
      </w:r>
      <w:r w:rsidRPr="00471AE5">
        <w:t>within</w:t>
      </w:r>
      <w:r>
        <w:t> both terrestrial and non-terrestrial domains.</w:t>
      </w:r>
    </w:p>
    <w:p w14:paraId="3FE4317A" w14:textId="4920AD0C" w:rsidR="000961FB" w:rsidRDefault="000961FB" w:rsidP="00703DD4">
      <w:r w:rsidRPr="00703DD4">
        <w:t xml:space="preserve">While 5G NR introduced advancements in mobility, particularly for mmWave and beam-centric operations, its fundamental design still faces limitations that necessitate a significant "design lift" for 6GR. </w:t>
      </w:r>
      <w:r>
        <w:t>In 5G, mobility management, especially handovers, can still be prone to:</w:t>
      </w:r>
    </w:p>
    <w:p w14:paraId="304AE57F" w14:textId="77777777" w:rsidR="000961FB" w:rsidRDefault="000961FB" w:rsidP="002F6A1C">
      <w:pPr>
        <w:numPr>
          <w:ilvl w:val="0"/>
          <w:numId w:val="28"/>
        </w:numPr>
        <w:overflowPunct/>
        <w:autoSpaceDE/>
        <w:autoSpaceDN/>
        <w:adjustRightInd/>
        <w:spacing w:line="276" w:lineRule="auto"/>
        <w:textAlignment w:val="auto"/>
      </w:pPr>
      <w:r w:rsidRPr="004C5D56">
        <w:rPr>
          <w:i/>
          <w:iCs/>
        </w:rPr>
        <w:t>Service Interruptions:</w:t>
      </w:r>
      <w:r>
        <w:t> Even brief interruptions during handovers, while reduced compared to previous generations, can be detrimental to latency-sensitive and highly reliable services (e.g., URLLC, industrial IoT, XR applications). These interruptions often stem from the sequential nature of measurement, reporting, decision, and execution phases.</w:t>
      </w:r>
    </w:p>
    <w:p w14:paraId="4452FA40" w14:textId="77777777" w:rsidR="000961FB" w:rsidRDefault="000961FB" w:rsidP="002F6A1C">
      <w:pPr>
        <w:numPr>
          <w:ilvl w:val="0"/>
          <w:numId w:val="28"/>
        </w:numPr>
        <w:overflowPunct/>
        <w:autoSpaceDE/>
        <w:autoSpaceDN/>
        <w:adjustRightInd/>
        <w:spacing w:line="276" w:lineRule="auto"/>
        <w:textAlignment w:val="auto"/>
      </w:pPr>
      <w:r w:rsidRPr="004C5D56">
        <w:rPr>
          <w:i/>
          <w:iCs/>
        </w:rPr>
        <w:t>Signaling Overhead: </w:t>
      </w:r>
      <w:r>
        <w:t>Frequent and extensive measurement and reporting for mobility can consume significant radio resources, impacting system capacity, particularly in dense scenarios or with high-speed UEs.</w:t>
      </w:r>
    </w:p>
    <w:p w14:paraId="3E573D2C" w14:textId="77777777" w:rsidR="000961FB" w:rsidRDefault="000961FB" w:rsidP="000961FB">
      <w:pPr>
        <w:numPr>
          <w:ilvl w:val="0"/>
          <w:numId w:val="34"/>
        </w:numPr>
        <w:overflowPunct/>
        <w:autoSpaceDE/>
        <w:autoSpaceDN/>
        <w:adjustRightInd/>
        <w:spacing w:after="160" w:line="276" w:lineRule="auto"/>
        <w:textAlignment w:val="auto"/>
      </w:pPr>
      <w:r w:rsidRPr="004C5D56">
        <w:rPr>
          <w:i/>
          <w:iCs/>
        </w:rPr>
        <w:t>Lack of Proactivity: </w:t>
      </w:r>
      <w:r>
        <w:t>5G mobility is largely reactive, responding to deteriorating signal conditions. This can lead to late handovers, especially for high-speed users, resulting in higher failure rates or ping-pong effects.</w:t>
      </w:r>
    </w:p>
    <w:p w14:paraId="33D2853F" w14:textId="77777777" w:rsidR="000961FB" w:rsidRDefault="000961FB" w:rsidP="002F6A1C">
      <w:pPr>
        <w:numPr>
          <w:ilvl w:val="0"/>
          <w:numId w:val="28"/>
        </w:numPr>
        <w:overflowPunct/>
        <w:autoSpaceDE/>
        <w:autoSpaceDN/>
        <w:adjustRightInd/>
        <w:spacing w:line="276" w:lineRule="auto"/>
        <w:textAlignment w:val="auto"/>
      </w:pPr>
      <w:r w:rsidRPr="005A6C15">
        <w:rPr>
          <w:i/>
          <w:iCs/>
        </w:rPr>
        <w:t>Complexity with Beam Management: </w:t>
      </w:r>
      <w:r>
        <w:t>While beam management in 5G aids connectivity, its integration with cell-level mobility can still be complex, with beam failures potentially triggering costly and disruptive cell handovers.</w:t>
      </w:r>
    </w:p>
    <w:p w14:paraId="2E4E8792" w14:textId="3624EC7D" w:rsidR="000961FB" w:rsidRDefault="000961FB" w:rsidP="002F6A1C">
      <w:pPr>
        <w:numPr>
          <w:ilvl w:val="0"/>
          <w:numId w:val="28"/>
        </w:numPr>
        <w:overflowPunct/>
        <w:autoSpaceDE/>
        <w:autoSpaceDN/>
        <w:adjustRightInd/>
        <w:spacing w:line="276" w:lineRule="auto"/>
        <w:textAlignment w:val="auto"/>
      </w:pPr>
      <w:r w:rsidRPr="005A6C15">
        <w:rPr>
          <w:i/>
          <w:iCs/>
        </w:rPr>
        <w:t>Limited Support for Diverse Mobility Scenarios: </w:t>
      </w:r>
      <w:r>
        <w:t>5G's mobility design, while improved, was not fundamentally conceived for the extreme range of speeds (</w:t>
      </w:r>
      <w:r w:rsidR="005A6C15">
        <w:t xml:space="preserve">e.g., </w:t>
      </w:r>
      <w:r>
        <w:t>from stationary to high-speed aerial platforms), diverse environments (</w:t>
      </w:r>
      <w:r w:rsidR="005A6C15">
        <w:t xml:space="preserve">e.g., from </w:t>
      </w:r>
      <w:r>
        <w:t>deep urban canyons to global NTN coverage), and ultra-low latency requirements that 6GR aims to address.</w:t>
      </w:r>
    </w:p>
    <w:p w14:paraId="15B3C309" w14:textId="77777777" w:rsidR="000961FB" w:rsidRDefault="000961FB" w:rsidP="000961FB">
      <w:r>
        <w:t>These shortcomings highlight the necessity for a fundamental redesign in 6GR. The goal is to evolve beyond reactive, interruption-prone handovers to a truly predictive, proactive, and interruption-free mobility experience. This requires a holistic approach, leveraging advancements like AI/ML, enhanced signaling, and tighter network coordination.</w:t>
      </w:r>
    </w:p>
    <w:p w14:paraId="427D4FB0" w14:textId="6556A055" w:rsidR="000961FB" w:rsidRDefault="000961FB" w:rsidP="000961FB">
      <w:r>
        <w:t>The 6GR framework for seamless mobility must therefore aim to overcome these 5G limitations by enabling highly robust, low-latency mobility with minimal service disruption, addressing the challenges of extreme speeds, high user densities, and diverse application requirements.</w:t>
      </w:r>
    </w:p>
    <w:p w14:paraId="5C66F94A" w14:textId="77777777" w:rsidR="000961FB" w:rsidRDefault="000961FB" w:rsidP="002F6A1C">
      <w:pPr>
        <w:numPr>
          <w:ilvl w:val="0"/>
          <w:numId w:val="28"/>
        </w:numPr>
        <w:overflowPunct/>
        <w:autoSpaceDE/>
        <w:autoSpaceDN/>
        <w:adjustRightInd/>
        <w:spacing w:line="276" w:lineRule="auto"/>
        <w:textAlignment w:val="auto"/>
      </w:pPr>
      <w:r w:rsidRPr="0004105A">
        <w:rPr>
          <w:i/>
          <w:iCs/>
        </w:rPr>
        <w:t>Unified Mobility Management Framework: </w:t>
      </w:r>
      <w:r>
        <w:t>Defining a framework that enables truly seamless mobility (handover, cell reselection) for UEs across all relevant scenarios. This includes:</w:t>
      </w:r>
    </w:p>
    <w:p w14:paraId="75766A5D" w14:textId="77777777" w:rsidR="000961FB" w:rsidRDefault="000961FB" w:rsidP="002F6A1C">
      <w:pPr>
        <w:numPr>
          <w:ilvl w:val="1"/>
          <w:numId w:val="35"/>
        </w:numPr>
        <w:overflowPunct/>
        <w:autoSpaceDE/>
        <w:autoSpaceDN/>
        <w:adjustRightInd/>
        <w:spacing w:line="276" w:lineRule="auto"/>
        <w:ind w:left="1434" w:hanging="357"/>
        <w:textAlignment w:val="auto"/>
      </w:pPr>
      <w:r w:rsidRPr="0004105A">
        <w:rPr>
          <w:i/>
          <w:iCs/>
        </w:rPr>
        <w:t>TN-to-NTN and NTN-to-TN transitions: </w:t>
      </w:r>
      <w:r>
        <w:t>Facilitating smooth and intelligent handovers as UEs move between terrestrial and non-terrestrial network coverage.</w:t>
      </w:r>
    </w:p>
    <w:p w14:paraId="5ADB73DC" w14:textId="77777777" w:rsidR="000961FB" w:rsidRDefault="000961FB" w:rsidP="002F6A1C">
      <w:pPr>
        <w:numPr>
          <w:ilvl w:val="1"/>
          <w:numId w:val="35"/>
        </w:numPr>
        <w:overflowPunct/>
        <w:autoSpaceDE/>
        <w:autoSpaceDN/>
        <w:adjustRightInd/>
        <w:spacing w:line="276" w:lineRule="auto"/>
        <w:ind w:left="1434" w:hanging="357"/>
        <w:textAlignment w:val="auto"/>
      </w:pPr>
      <w:r w:rsidRPr="0004105A">
        <w:rPr>
          <w:i/>
          <w:iCs/>
        </w:rPr>
        <w:t>Enhanced Intra-TN Mobility: </w:t>
      </w:r>
      <w:r>
        <w:t>Reconsidering and enhancing handover mechanisms within terrestrial networks to be significantly more robust, reduce failure rates, and minimize service disruption, particularly in challenging environments like high-speed mobility (e.g., high-speed trains, vehicles), dense urban areas, and complex indoor scenarios. This includes investigating proactive and AI/ML-assisted mobility solutions.</w:t>
      </w:r>
    </w:p>
    <w:p w14:paraId="2FF8A55A" w14:textId="77777777" w:rsidR="000961FB" w:rsidRDefault="000961FB" w:rsidP="002F6A1C">
      <w:pPr>
        <w:numPr>
          <w:ilvl w:val="1"/>
          <w:numId w:val="35"/>
        </w:numPr>
        <w:overflowPunct/>
        <w:autoSpaceDE/>
        <w:autoSpaceDN/>
        <w:adjustRightInd/>
        <w:spacing w:line="276" w:lineRule="auto"/>
        <w:ind w:left="1434" w:hanging="357"/>
        <w:textAlignment w:val="auto"/>
      </w:pPr>
      <w:r w:rsidRPr="0004105A">
        <w:rPr>
          <w:i/>
          <w:iCs/>
        </w:rPr>
        <w:t>Intra-NTN Mobility: </w:t>
      </w:r>
      <w:r>
        <w:t>Addressing mobility within NTN, such as handovers between different satellite beams (e.g., LEO to LEO, LEO to GEO) or between different NTN platforms, accounting for their unique characteristics.</w:t>
      </w:r>
    </w:p>
    <w:p w14:paraId="70EC2CC8" w14:textId="77777777" w:rsidR="000961FB" w:rsidRDefault="000961FB" w:rsidP="002F6A1C">
      <w:pPr>
        <w:ind w:left="709"/>
      </w:pPr>
      <w:r>
        <w:t>This framework should include harmonized measurement reporting, robust mobility decision-making mechanisms (potentially AI/ML-assisted), and optimized signaling for rapid and reliable transitions.</w:t>
      </w:r>
    </w:p>
    <w:p w14:paraId="2F7EF29D" w14:textId="77777777" w:rsidR="000961FB" w:rsidRPr="001F671D" w:rsidRDefault="000961FB" w:rsidP="002F6A1C">
      <w:pPr>
        <w:numPr>
          <w:ilvl w:val="0"/>
          <w:numId w:val="28"/>
        </w:numPr>
        <w:overflowPunct/>
        <w:autoSpaceDE/>
        <w:autoSpaceDN/>
        <w:adjustRightInd/>
        <w:spacing w:line="276" w:lineRule="auto"/>
        <w:textAlignment w:val="auto"/>
        <w:rPr>
          <w:b/>
          <w:bCs/>
        </w:rPr>
      </w:pPr>
      <w:r w:rsidRPr="00B63CC2">
        <w:rPr>
          <w:i/>
          <w:iCs/>
        </w:rPr>
        <w:lastRenderedPageBreak/>
        <w:t>Interference Management between TN and NTN:</w:t>
      </w:r>
      <w:r>
        <w:t xml:space="preserve"> Establishing principles for managing interference between TN and NTN, especially in areas where coverage </w:t>
      </w:r>
      <w:r w:rsidRPr="00B63CC2">
        <w:t>overlaps, to ensure efficient spectrum utilization and co-existence. This may in</w:t>
      </w:r>
      <w:r>
        <w:t>volve coordinated resource allocation and beamforming strategies.</w:t>
      </w:r>
    </w:p>
    <w:p w14:paraId="0A584A1B" w14:textId="6DE798A2" w:rsidR="001F671D" w:rsidRDefault="001F671D" w:rsidP="001F671D">
      <w:pPr>
        <w:overflowPunct/>
        <w:autoSpaceDE/>
        <w:autoSpaceDN/>
        <w:adjustRightInd/>
        <w:spacing w:line="276" w:lineRule="auto"/>
        <w:textAlignment w:val="auto"/>
        <w:rPr>
          <w:b/>
          <w:bCs/>
        </w:rPr>
      </w:pPr>
      <w:r>
        <w:t>Based on the above discussion, we propose the following:</w:t>
      </w:r>
    </w:p>
    <w:p w14:paraId="342E318D" w14:textId="15F9DE0B" w:rsidR="000961FB" w:rsidRPr="008B68C8" w:rsidRDefault="000961FB" w:rsidP="008B68C8">
      <w:pPr>
        <w:spacing w:after="0"/>
        <w:rPr>
          <w:i/>
          <w:iCs/>
        </w:rPr>
      </w:pPr>
      <w:bookmarkStart w:id="2" w:name="Proposal_3"/>
      <w:r w:rsidRPr="00740BBD">
        <w:rPr>
          <w:b/>
          <w:bCs/>
          <w:i/>
          <w:iCs/>
        </w:rPr>
        <w:t xml:space="preserve">Proposal </w:t>
      </w:r>
      <w:r w:rsidR="00B63CC2" w:rsidRPr="00740BBD">
        <w:rPr>
          <w:b/>
          <w:bCs/>
          <w:i/>
          <w:iCs/>
        </w:rPr>
        <w:t>3</w:t>
      </w:r>
      <w:r w:rsidRPr="008B68C8">
        <w:rPr>
          <w:i/>
          <w:iCs/>
        </w:rPr>
        <w:t>: Study a unified mobility management framework that</w:t>
      </w:r>
    </w:p>
    <w:p w14:paraId="6B2FB0C2" w14:textId="769F080E" w:rsidR="000961FB" w:rsidRPr="008B68C8" w:rsidRDefault="000961FB" w:rsidP="008B68C8">
      <w:pPr>
        <w:pStyle w:val="ListParagraph"/>
        <w:numPr>
          <w:ilvl w:val="0"/>
          <w:numId w:val="36"/>
        </w:numPr>
        <w:spacing w:line="276" w:lineRule="auto"/>
        <w:rPr>
          <w:i/>
          <w:iCs/>
          <w:sz w:val="20"/>
          <w:szCs w:val="20"/>
          <w:lang w:val="en-GB"/>
        </w:rPr>
      </w:pPr>
      <w:r w:rsidRPr="008B68C8">
        <w:rPr>
          <w:i/>
          <w:iCs/>
          <w:sz w:val="20"/>
          <w:szCs w:val="20"/>
          <w:lang w:val="en-GB"/>
        </w:rPr>
        <w:t>addresses seamless transitions between TN and NTN</w:t>
      </w:r>
      <w:r w:rsidR="00BD10FD" w:rsidRPr="008B68C8">
        <w:rPr>
          <w:i/>
          <w:iCs/>
          <w:sz w:val="20"/>
          <w:szCs w:val="20"/>
          <w:lang w:val="en-GB"/>
        </w:rPr>
        <w:t>,</w:t>
      </w:r>
    </w:p>
    <w:p w14:paraId="1F9CE7B5" w14:textId="3F704DC4" w:rsidR="000961FB" w:rsidRPr="008B68C8" w:rsidRDefault="000961FB" w:rsidP="008B68C8">
      <w:pPr>
        <w:pStyle w:val="ListParagraph"/>
        <w:numPr>
          <w:ilvl w:val="0"/>
          <w:numId w:val="36"/>
        </w:numPr>
        <w:spacing w:line="276" w:lineRule="auto"/>
        <w:rPr>
          <w:i/>
          <w:iCs/>
          <w:sz w:val="20"/>
          <w:szCs w:val="20"/>
          <w:lang w:val="en-GB"/>
        </w:rPr>
      </w:pPr>
      <w:r w:rsidRPr="008B68C8">
        <w:rPr>
          <w:i/>
          <w:iCs/>
          <w:sz w:val="20"/>
          <w:szCs w:val="20"/>
          <w:lang w:val="en-GB"/>
        </w:rPr>
        <w:t>enhances intra-TN and intra-NTN mobility</w:t>
      </w:r>
      <w:r w:rsidR="00BD10FD" w:rsidRPr="008B68C8">
        <w:rPr>
          <w:i/>
          <w:iCs/>
          <w:sz w:val="20"/>
          <w:szCs w:val="20"/>
          <w:lang w:val="en-GB"/>
        </w:rPr>
        <w:t xml:space="preserve"> performance,</w:t>
      </w:r>
    </w:p>
    <w:p w14:paraId="6171CD83" w14:textId="1AB03011" w:rsidR="000961FB" w:rsidRPr="008B68C8" w:rsidRDefault="00BD10FD" w:rsidP="008B68C8">
      <w:pPr>
        <w:pStyle w:val="ListParagraph"/>
        <w:numPr>
          <w:ilvl w:val="0"/>
          <w:numId w:val="36"/>
        </w:numPr>
        <w:spacing w:line="276" w:lineRule="auto"/>
        <w:rPr>
          <w:i/>
          <w:iCs/>
          <w:sz w:val="20"/>
          <w:szCs w:val="20"/>
          <w:lang w:val="en-GB"/>
        </w:rPr>
      </w:pPr>
      <w:r w:rsidRPr="008B68C8">
        <w:rPr>
          <w:i/>
          <w:iCs/>
          <w:sz w:val="20"/>
          <w:szCs w:val="20"/>
          <w:lang w:val="en-GB"/>
        </w:rPr>
        <w:t>incorporates</w:t>
      </w:r>
      <w:r w:rsidR="000961FB" w:rsidRPr="008B68C8">
        <w:rPr>
          <w:i/>
          <w:iCs/>
          <w:sz w:val="20"/>
          <w:szCs w:val="20"/>
          <w:lang w:val="en-GB"/>
        </w:rPr>
        <w:t xml:space="preserve"> principles for interference management between TN and NTN</w:t>
      </w:r>
      <w:r w:rsidRPr="008B68C8">
        <w:rPr>
          <w:i/>
          <w:iCs/>
          <w:sz w:val="20"/>
          <w:szCs w:val="20"/>
          <w:lang w:val="en-GB"/>
        </w:rPr>
        <w:t>,</w:t>
      </w:r>
    </w:p>
    <w:p w14:paraId="51E16BCE" w14:textId="09207A03" w:rsidR="00C452CE" w:rsidRPr="008B68C8" w:rsidRDefault="00C452CE" w:rsidP="00C452CE">
      <w:pPr>
        <w:rPr>
          <w:i/>
          <w:iCs/>
        </w:rPr>
      </w:pPr>
      <w:r w:rsidRPr="008B68C8">
        <w:rPr>
          <w:i/>
          <w:iCs/>
        </w:rPr>
        <w:t>with the aim of ensuring consistent behavior across TN and NTN while minimizing fragmentation in the 6GR air</w:t>
      </w:r>
      <w:r w:rsidRPr="008B68C8">
        <w:rPr>
          <w:i/>
          <w:iCs/>
        </w:rPr>
        <w:noBreakHyphen/>
        <w:t>interface design.</w:t>
      </w:r>
      <w:bookmarkEnd w:id="2"/>
    </w:p>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4E0202CD" w14:textId="77777777" w:rsidR="00226BEC" w:rsidRPr="00EA3C23" w:rsidRDefault="00CF57ED" w:rsidP="00EA3C23">
      <w:pPr>
        <w:spacing w:after="0"/>
      </w:pPr>
      <w:r>
        <w:fldChar w:fldCharType="begin"/>
      </w:r>
      <w:r>
        <w:rPr>
          <w:i/>
          <w:iCs/>
        </w:rPr>
        <w:instrText xml:space="preserve"> REF Proposal_1 \h </w:instrText>
      </w:r>
      <w:r>
        <w:fldChar w:fldCharType="separate"/>
      </w:r>
      <w:r w:rsidR="00226BEC" w:rsidRPr="009431CE">
        <w:rPr>
          <w:b/>
          <w:bCs/>
          <w:i/>
          <w:iCs/>
        </w:rPr>
        <w:t>Proposal 1:</w:t>
      </w:r>
      <w:r w:rsidR="00226BEC" w:rsidRPr="00EA3C23">
        <w:rPr>
          <w:i/>
          <w:iCs/>
        </w:rPr>
        <w:t> Study the development of a harmonized and unified MIMO framework that natively incorporates:</w:t>
      </w:r>
    </w:p>
    <w:p w14:paraId="3E325EF8" w14:textId="77777777" w:rsidR="00226BEC" w:rsidRPr="00EA3C23" w:rsidRDefault="00226BEC" w:rsidP="00EA3C23">
      <w:pPr>
        <w:pStyle w:val="ListParagraph"/>
        <w:numPr>
          <w:ilvl w:val="0"/>
          <w:numId w:val="31"/>
        </w:numPr>
        <w:spacing w:line="276" w:lineRule="auto"/>
        <w:rPr>
          <w:i/>
          <w:iCs/>
          <w:sz w:val="20"/>
          <w:szCs w:val="20"/>
        </w:rPr>
      </w:pPr>
      <w:r w:rsidRPr="00EA3C23">
        <w:rPr>
          <w:i/>
          <w:iCs/>
          <w:sz w:val="20"/>
          <w:szCs w:val="20"/>
        </w:rPr>
        <w:t>multi-TRP operations,</w:t>
      </w:r>
    </w:p>
    <w:p w14:paraId="2D722A89" w14:textId="77777777" w:rsidR="00226BEC" w:rsidRPr="00EA3C23" w:rsidRDefault="00226BEC" w:rsidP="00EA3C23">
      <w:pPr>
        <w:pStyle w:val="ListParagraph"/>
        <w:numPr>
          <w:ilvl w:val="0"/>
          <w:numId w:val="31"/>
        </w:numPr>
        <w:spacing w:line="276" w:lineRule="auto"/>
        <w:rPr>
          <w:i/>
          <w:iCs/>
          <w:sz w:val="20"/>
          <w:szCs w:val="20"/>
        </w:rPr>
      </w:pPr>
      <w:r w:rsidRPr="00EA3C23">
        <w:rPr>
          <w:i/>
          <w:iCs/>
          <w:sz w:val="20"/>
          <w:szCs w:val="20"/>
        </w:rPr>
        <w:t xml:space="preserve">advanced beamforming capabilities, </w:t>
      </w:r>
    </w:p>
    <w:p w14:paraId="0FD68677" w14:textId="77777777" w:rsidR="00226BEC" w:rsidRPr="00EA3C23" w:rsidRDefault="00226BEC" w:rsidP="00EA3C23">
      <w:pPr>
        <w:pStyle w:val="ListParagraph"/>
        <w:numPr>
          <w:ilvl w:val="0"/>
          <w:numId w:val="31"/>
        </w:numPr>
        <w:spacing w:line="276" w:lineRule="auto"/>
        <w:rPr>
          <w:i/>
          <w:iCs/>
          <w:sz w:val="20"/>
          <w:szCs w:val="20"/>
          <w:lang w:val="en-GB"/>
        </w:rPr>
      </w:pPr>
      <w:r w:rsidRPr="00EA3C23">
        <w:rPr>
          <w:i/>
          <w:iCs/>
          <w:sz w:val="20"/>
          <w:szCs w:val="20"/>
          <w:lang w:val="en-GB"/>
        </w:rPr>
        <w:t>AI/ML-driven physical layer optimizations</w:t>
      </w:r>
      <w:r>
        <w:rPr>
          <w:i/>
          <w:iCs/>
          <w:sz w:val="20"/>
          <w:szCs w:val="20"/>
          <w:lang w:val="en-GB"/>
        </w:rPr>
        <w:t>,</w:t>
      </w:r>
    </w:p>
    <w:p w14:paraId="5103A6DD" w14:textId="488A46E4" w:rsidR="00524DA8" w:rsidRDefault="00226BEC" w:rsidP="00BF588E">
      <w:r w:rsidRPr="00EA3C23">
        <w:rPr>
          <w:i/>
          <w:iCs/>
        </w:rPr>
        <w:t>with the aim of enabling a flexible and scalable architecture for enhanced spectral efficiency, improved link robustness, and system adaptability across diverse 6GR scenarios.</w:t>
      </w:r>
      <w:r w:rsidR="00CF57ED">
        <w:fldChar w:fldCharType="end"/>
      </w:r>
    </w:p>
    <w:p w14:paraId="4095A595" w14:textId="77777777" w:rsidR="00226BEC" w:rsidRPr="00B7364E" w:rsidRDefault="00CF57ED" w:rsidP="00B7364E">
      <w:pPr>
        <w:spacing w:after="0"/>
        <w:rPr>
          <w:i/>
          <w:iCs/>
        </w:rPr>
      </w:pPr>
      <w:r>
        <w:rPr>
          <w:i/>
          <w:iCs/>
        </w:rPr>
        <w:fldChar w:fldCharType="begin"/>
      </w:r>
      <w:r>
        <w:rPr>
          <w:i/>
          <w:iCs/>
        </w:rPr>
        <w:instrText xml:space="preserve"> REF Proposal_2 \h </w:instrText>
      </w:r>
      <w:r>
        <w:rPr>
          <w:i/>
          <w:iCs/>
        </w:rPr>
      </w:r>
      <w:r>
        <w:rPr>
          <w:i/>
          <w:iCs/>
        </w:rPr>
        <w:fldChar w:fldCharType="separate"/>
      </w:r>
      <w:r w:rsidR="00226BEC" w:rsidRPr="00B7364E">
        <w:rPr>
          <w:b/>
          <w:bCs/>
          <w:i/>
          <w:iCs/>
        </w:rPr>
        <w:t>Proposal 2:</w:t>
      </w:r>
      <w:r w:rsidR="00226BEC" w:rsidRPr="00B7364E">
        <w:rPr>
          <w:i/>
          <w:iCs/>
        </w:rPr>
        <w:t> Study unified air-interface principles to support TN/NTN harmonization, including:</w:t>
      </w:r>
    </w:p>
    <w:p w14:paraId="47FE2064" w14:textId="77777777" w:rsidR="00226BEC" w:rsidRPr="00B7364E" w:rsidRDefault="00226BEC" w:rsidP="00B7364E">
      <w:pPr>
        <w:pStyle w:val="ListParagraph"/>
        <w:numPr>
          <w:ilvl w:val="0"/>
          <w:numId w:val="33"/>
        </w:numPr>
        <w:spacing w:line="276" w:lineRule="auto"/>
        <w:rPr>
          <w:i/>
          <w:iCs/>
          <w:sz w:val="20"/>
          <w:szCs w:val="20"/>
          <w:lang w:val="en-GB"/>
        </w:rPr>
      </w:pPr>
      <w:r w:rsidRPr="00B7364E">
        <w:rPr>
          <w:i/>
          <w:iCs/>
          <w:sz w:val="20"/>
          <w:szCs w:val="20"/>
          <w:lang w:val="en-GB"/>
        </w:rPr>
        <w:t>common waveform and frame structure foundation,</w:t>
      </w:r>
    </w:p>
    <w:p w14:paraId="7B2D7F4E" w14:textId="77777777" w:rsidR="00226BEC" w:rsidRPr="00B7364E" w:rsidRDefault="00226BEC" w:rsidP="00B7364E">
      <w:pPr>
        <w:pStyle w:val="ListParagraph"/>
        <w:numPr>
          <w:ilvl w:val="0"/>
          <w:numId w:val="33"/>
        </w:numPr>
        <w:spacing w:line="276" w:lineRule="auto"/>
        <w:rPr>
          <w:i/>
          <w:iCs/>
          <w:sz w:val="20"/>
          <w:szCs w:val="20"/>
          <w:lang w:val="en-GB"/>
        </w:rPr>
      </w:pPr>
      <w:r w:rsidRPr="00B7364E">
        <w:rPr>
          <w:i/>
          <w:iCs/>
          <w:sz w:val="20"/>
          <w:szCs w:val="20"/>
          <w:lang w:val="en-GB"/>
        </w:rPr>
        <w:t>maximization of reference signal and control channel commonality,</w:t>
      </w:r>
    </w:p>
    <w:p w14:paraId="1B79D185" w14:textId="77777777" w:rsidR="00226BEC" w:rsidRPr="00B7364E" w:rsidRDefault="00226BEC" w:rsidP="00B7364E">
      <w:pPr>
        <w:pStyle w:val="ListParagraph"/>
        <w:numPr>
          <w:ilvl w:val="0"/>
          <w:numId w:val="33"/>
        </w:numPr>
        <w:spacing w:line="276" w:lineRule="auto"/>
        <w:rPr>
          <w:i/>
          <w:iCs/>
          <w:sz w:val="20"/>
          <w:szCs w:val="20"/>
          <w:lang w:val="en-GB"/>
        </w:rPr>
      </w:pPr>
      <w:r w:rsidRPr="00B7364E">
        <w:rPr>
          <w:i/>
          <w:iCs/>
          <w:sz w:val="20"/>
          <w:szCs w:val="20"/>
          <w:lang w:val="en-GB"/>
        </w:rPr>
        <w:t>harmonized beam management that that also accounts for NTN-specific characteristics,</w:t>
      </w:r>
    </w:p>
    <w:p w14:paraId="04830F0A" w14:textId="3E315B2E" w:rsidR="00CF57ED" w:rsidRDefault="00226BEC" w:rsidP="00BF588E">
      <w:pPr>
        <w:rPr>
          <w:i/>
          <w:iCs/>
        </w:rPr>
      </w:pPr>
      <w:r w:rsidRPr="00B7364E">
        <w:rPr>
          <w:i/>
          <w:iCs/>
        </w:rPr>
        <w:t>with the aim of enabling coherent operation across TN and NTN while minimizing unnecessary divergence in the 6GR air</w:t>
      </w:r>
      <w:r w:rsidRPr="00B7364E">
        <w:rPr>
          <w:i/>
          <w:iCs/>
        </w:rPr>
        <w:noBreakHyphen/>
        <w:t>interface.</w:t>
      </w:r>
      <w:r w:rsidR="00CF57ED">
        <w:rPr>
          <w:i/>
          <w:iCs/>
        </w:rPr>
        <w:fldChar w:fldCharType="end"/>
      </w:r>
    </w:p>
    <w:p w14:paraId="7B00D200" w14:textId="77777777" w:rsidR="00226BEC" w:rsidRPr="008B68C8" w:rsidRDefault="00CF57ED" w:rsidP="008B68C8">
      <w:pPr>
        <w:spacing w:after="0"/>
        <w:rPr>
          <w:i/>
          <w:iCs/>
        </w:rPr>
      </w:pPr>
      <w:r>
        <w:rPr>
          <w:i/>
          <w:iCs/>
        </w:rPr>
        <w:fldChar w:fldCharType="begin"/>
      </w:r>
      <w:r>
        <w:rPr>
          <w:i/>
          <w:iCs/>
        </w:rPr>
        <w:instrText xml:space="preserve"> REF Proposal_3 \h </w:instrText>
      </w:r>
      <w:r>
        <w:rPr>
          <w:i/>
          <w:iCs/>
        </w:rPr>
      </w:r>
      <w:r>
        <w:rPr>
          <w:i/>
          <w:iCs/>
        </w:rPr>
        <w:fldChar w:fldCharType="separate"/>
      </w:r>
      <w:r w:rsidR="00226BEC" w:rsidRPr="00740BBD">
        <w:rPr>
          <w:b/>
          <w:bCs/>
          <w:i/>
          <w:iCs/>
        </w:rPr>
        <w:t>Proposal 3</w:t>
      </w:r>
      <w:r w:rsidR="00226BEC" w:rsidRPr="008B68C8">
        <w:rPr>
          <w:i/>
          <w:iCs/>
        </w:rPr>
        <w:t>: Study a unified mobility management framework that</w:t>
      </w:r>
    </w:p>
    <w:p w14:paraId="698549AD" w14:textId="77777777" w:rsidR="00226BEC" w:rsidRPr="008B68C8" w:rsidRDefault="00226BEC" w:rsidP="008B68C8">
      <w:pPr>
        <w:pStyle w:val="ListParagraph"/>
        <w:numPr>
          <w:ilvl w:val="0"/>
          <w:numId w:val="36"/>
        </w:numPr>
        <w:spacing w:line="276" w:lineRule="auto"/>
        <w:rPr>
          <w:i/>
          <w:iCs/>
          <w:sz w:val="20"/>
          <w:szCs w:val="20"/>
          <w:lang w:val="en-GB"/>
        </w:rPr>
      </w:pPr>
      <w:r w:rsidRPr="008B68C8">
        <w:rPr>
          <w:i/>
          <w:iCs/>
          <w:sz w:val="20"/>
          <w:szCs w:val="20"/>
          <w:lang w:val="en-GB"/>
        </w:rPr>
        <w:t>addresses seamless transitions between TN and NTN,</w:t>
      </w:r>
    </w:p>
    <w:p w14:paraId="39685F78" w14:textId="77777777" w:rsidR="00226BEC" w:rsidRPr="008B68C8" w:rsidRDefault="00226BEC" w:rsidP="008B68C8">
      <w:pPr>
        <w:pStyle w:val="ListParagraph"/>
        <w:numPr>
          <w:ilvl w:val="0"/>
          <w:numId w:val="36"/>
        </w:numPr>
        <w:spacing w:line="276" w:lineRule="auto"/>
        <w:rPr>
          <w:i/>
          <w:iCs/>
          <w:sz w:val="20"/>
          <w:szCs w:val="20"/>
          <w:lang w:val="en-GB"/>
        </w:rPr>
      </w:pPr>
      <w:r w:rsidRPr="008B68C8">
        <w:rPr>
          <w:i/>
          <w:iCs/>
          <w:sz w:val="20"/>
          <w:szCs w:val="20"/>
          <w:lang w:val="en-GB"/>
        </w:rPr>
        <w:t>enhances intra-TN and intra-NTN mobility performance,</w:t>
      </w:r>
    </w:p>
    <w:p w14:paraId="74234E77" w14:textId="77777777" w:rsidR="00226BEC" w:rsidRPr="008B68C8" w:rsidRDefault="00226BEC" w:rsidP="008B68C8">
      <w:pPr>
        <w:pStyle w:val="ListParagraph"/>
        <w:numPr>
          <w:ilvl w:val="0"/>
          <w:numId w:val="36"/>
        </w:numPr>
        <w:spacing w:line="276" w:lineRule="auto"/>
        <w:rPr>
          <w:i/>
          <w:iCs/>
          <w:sz w:val="20"/>
          <w:szCs w:val="20"/>
          <w:lang w:val="en-GB"/>
        </w:rPr>
      </w:pPr>
      <w:r w:rsidRPr="008B68C8">
        <w:rPr>
          <w:i/>
          <w:iCs/>
          <w:sz w:val="20"/>
          <w:szCs w:val="20"/>
          <w:lang w:val="en-GB"/>
        </w:rPr>
        <w:t>incorporates principles for interference management between TN and NTN,</w:t>
      </w:r>
    </w:p>
    <w:p w14:paraId="68C1BB96" w14:textId="791AEBA4" w:rsidR="00CF57ED" w:rsidRDefault="00226BEC" w:rsidP="00BF588E">
      <w:pPr>
        <w:rPr>
          <w:i/>
          <w:iCs/>
        </w:rPr>
      </w:pPr>
      <w:r w:rsidRPr="008B68C8">
        <w:rPr>
          <w:i/>
          <w:iCs/>
        </w:rPr>
        <w:t>with the aim of ensuring consistent behavior across TN and NTN while minimizing fragmentation in the 6GR air</w:t>
      </w:r>
      <w:r w:rsidRPr="008B68C8">
        <w:rPr>
          <w:i/>
          <w:iCs/>
        </w:rPr>
        <w:noBreakHyphen/>
        <w:t>interface design.</w:t>
      </w:r>
      <w:r w:rsidR="00CF57ED">
        <w:rPr>
          <w:i/>
          <w:iCs/>
        </w:rP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4629D8BF" w14:textId="77777777" w:rsidR="00226BEC"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26BEC" w14:paraId="203487DF" w14:textId="77777777">
                <w:trPr>
                  <w:divId w:val="1624269414"/>
                  <w:tblCellSpacing w:w="15" w:type="dxa"/>
                </w:trPr>
                <w:tc>
                  <w:tcPr>
                    <w:tcW w:w="50" w:type="pct"/>
                    <w:hideMark/>
                  </w:tcPr>
                  <w:p w14:paraId="138B6A40" w14:textId="55EED337" w:rsidR="00226BEC" w:rsidRDefault="00226BEC">
                    <w:pPr>
                      <w:pStyle w:val="Bibliography"/>
                      <w:rPr>
                        <w:noProof/>
                        <w:sz w:val="24"/>
                        <w:szCs w:val="24"/>
                      </w:rPr>
                    </w:pPr>
                    <w:r>
                      <w:rPr>
                        <w:noProof/>
                      </w:rPr>
                      <w:t xml:space="preserve">[1] </w:t>
                    </w:r>
                  </w:p>
                </w:tc>
                <w:tc>
                  <w:tcPr>
                    <w:tcW w:w="0" w:type="auto"/>
                    <w:hideMark/>
                  </w:tcPr>
                  <w:p w14:paraId="6677E261" w14:textId="77777777" w:rsidR="00226BEC" w:rsidRDefault="00226BEC">
                    <w:pPr>
                      <w:pStyle w:val="Bibliography"/>
                      <w:rPr>
                        <w:noProof/>
                      </w:rPr>
                    </w:pPr>
                    <w:r>
                      <w:rPr>
                        <w:noProof/>
                      </w:rPr>
                      <w:t>RP-251881, “New SID: Study on 6G Radio,” NTT Docomo.</w:t>
                    </w:r>
                  </w:p>
                </w:tc>
              </w:tr>
              <w:tr w:rsidR="00226BEC" w14:paraId="5B546A30" w14:textId="77777777">
                <w:trPr>
                  <w:divId w:val="1624269414"/>
                  <w:tblCellSpacing w:w="15" w:type="dxa"/>
                </w:trPr>
                <w:tc>
                  <w:tcPr>
                    <w:tcW w:w="50" w:type="pct"/>
                    <w:hideMark/>
                  </w:tcPr>
                  <w:p w14:paraId="1A4D2751" w14:textId="77777777" w:rsidR="00226BEC" w:rsidRDefault="00226BEC">
                    <w:pPr>
                      <w:pStyle w:val="Bibliography"/>
                      <w:rPr>
                        <w:noProof/>
                      </w:rPr>
                    </w:pPr>
                    <w:r>
                      <w:rPr>
                        <w:noProof/>
                      </w:rPr>
                      <w:t xml:space="preserve">[2] </w:t>
                    </w:r>
                  </w:p>
                </w:tc>
                <w:tc>
                  <w:tcPr>
                    <w:tcW w:w="0" w:type="auto"/>
                    <w:hideMark/>
                  </w:tcPr>
                  <w:p w14:paraId="1CEA15D6" w14:textId="77777777" w:rsidR="00226BEC" w:rsidRDefault="00226BEC">
                    <w:pPr>
                      <w:pStyle w:val="Bibliography"/>
                      <w:rPr>
                        <w:noProof/>
                      </w:rPr>
                    </w:pPr>
                    <w:r>
                      <w:rPr>
                        <w:noProof/>
                      </w:rPr>
                      <w:t>RAN1 #122, “RAN1 Chair's Notes,” August 2025.</w:t>
                    </w:r>
                  </w:p>
                </w:tc>
              </w:tr>
              <w:tr w:rsidR="00226BEC" w14:paraId="1DA39571" w14:textId="77777777">
                <w:trPr>
                  <w:divId w:val="1624269414"/>
                  <w:tblCellSpacing w:w="15" w:type="dxa"/>
                </w:trPr>
                <w:tc>
                  <w:tcPr>
                    <w:tcW w:w="50" w:type="pct"/>
                    <w:hideMark/>
                  </w:tcPr>
                  <w:p w14:paraId="507A9D29" w14:textId="77777777" w:rsidR="00226BEC" w:rsidRDefault="00226BEC">
                    <w:pPr>
                      <w:pStyle w:val="Bibliography"/>
                      <w:rPr>
                        <w:noProof/>
                      </w:rPr>
                    </w:pPr>
                    <w:r>
                      <w:rPr>
                        <w:noProof/>
                      </w:rPr>
                      <w:t xml:space="preserve">[3] </w:t>
                    </w:r>
                  </w:p>
                </w:tc>
                <w:tc>
                  <w:tcPr>
                    <w:tcW w:w="0" w:type="auto"/>
                    <w:hideMark/>
                  </w:tcPr>
                  <w:p w14:paraId="0AEC130D" w14:textId="77777777" w:rsidR="00226BEC" w:rsidRDefault="00226BEC">
                    <w:pPr>
                      <w:pStyle w:val="Bibliography"/>
                      <w:rPr>
                        <w:noProof/>
                      </w:rPr>
                    </w:pPr>
                    <w:r>
                      <w:rPr>
                        <w:noProof/>
                      </w:rPr>
                      <w:t>RAN1 #122bis, “RAN1 Chair's Notes,” October 2025.</w:t>
                    </w:r>
                  </w:p>
                </w:tc>
              </w:tr>
              <w:tr w:rsidR="00226BEC" w14:paraId="60824BE6" w14:textId="77777777">
                <w:trPr>
                  <w:divId w:val="1624269414"/>
                  <w:tblCellSpacing w:w="15" w:type="dxa"/>
                </w:trPr>
                <w:tc>
                  <w:tcPr>
                    <w:tcW w:w="50" w:type="pct"/>
                    <w:hideMark/>
                  </w:tcPr>
                  <w:p w14:paraId="27A8E0FA" w14:textId="77777777" w:rsidR="00226BEC" w:rsidRDefault="00226BEC">
                    <w:pPr>
                      <w:pStyle w:val="Bibliography"/>
                      <w:rPr>
                        <w:noProof/>
                      </w:rPr>
                    </w:pPr>
                    <w:r>
                      <w:rPr>
                        <w:noProof/>
                      </w:rPr>
                      <w:t xml:space="preserve">[4] </w:t>
                    </w:r>
                  </w:p>
                </w:tc>
                <w:tc>
                  <w:tcPr>
                    <w:tcW w:w="0" w:type="auto"/>
                    <w:hideMark/>
                  </w:tcPr>
                  <w:p w14:paraId="14CB90E5" w14:textId="77777777" w:rsidR="00226BEC" w:rsidRDefault="00226BEC">
                    <w:pPr>
                      <w:pStyle w:val="Bibliography"/>
                      <w:rPr>
                        <w:noProof/>
                      </w:rPr>
                    </w:pPr>
                    <w:r>
                      <w:rPr>
                        <w:noProof/>
                      </w:rPr>
                      <w:t>RAN1 #123, “RAN1 Chair's Notes,” November 2025.</w:t>
                    </w:r>
                  </w:p>
                </w:tc>
              </w:tr>
            </w:tbl>
            <w:p w14:paraId="01A6A4EE" w14:textId="77777777" w:rsidR="00226BEC" w:rsidRDefault="00226BEC">
              <w:pPr>
                <w:divId w:val="162426941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E9AE" w14:textId="77777777" w:rsidR="00C91177" w:rsidRDefault="00C91177">
      <w:pPr>
        <w:spacing w:after="0"/>
      </w:pPr>
      <w:r>
        <w:separator/>
      </w:r>
    </w:p>
  </w:endnote>
  <w:endnote w:type="continuationSeparator" w:id="0">
    <w:p w14:paraId="5CD27021" w14:textId="77777777" w:rsidR="00C91177" w:rsidRDefault="00C91177">
      <w:pPr>
        <w:spacing w:after="0"/>
      </w:pPr>
      <w:r>
        <w:continuationSeparator/>
      </w:r>
    </w:p>
  </w:endnote>
  <w:endnote w:type="continuationNotice" w:id="1">
    <w:p w14:paraId="67948D4D" w14:textId="77777777" w:rsidR="00C91177" w:rsidRDefault="00C91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D3A7" w14:textId="77777777" w:rsidR="00C91177" w:rsidRDefault="00C91177">
      <w:pPr>
        <w:spacing w:after="0"/>
      </w:pPr>
      <w:r>
        <w:separator/>
      </w:r>
    </w:p>
  </w:footnote>
  <w:footnote w:type="continuationSeparator" w:id="0">
    <w:p w14:paraId="6E0AD964" w14:textId="77777777" w:rsidR="00C91177" w:rsidRDefault="00C91177">
      <w:pPr>
        <w:spacing w:after="0"/>
      </w:pPr>
      <w:r>
        <w:continuationSeparator/>
      </w:r>
    </w:p>
  </w:footnote>
  <w:footnote w:type="continuationNotice" w:id="1">
    <w:p w14:paraId="6A592C91" w14:textId="77777777" w:rsidR="00C91177" w:rsidRDefault="00C911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8304A5"/>
    <w:multiLevelType w:val="hybridMultilevel"/>
    <w:tmpl w:val="4FD2C02E"/>
    <w:lvl w:ilvl="0" w:tplc="97C4CD52">
      <w:start w:val="1"/>
      <w:numFmt w:val="bullet"/>
      <w:lvlText w:val="•"/>
      <w:lvlJc w:val="left"/>
      <w:pPr>
        <w:tabs>
          <w:tab w:val="num" w:pos="720"/>
        </w:tabs>
        <w:ind w:left="720" w:hanging="360"/>
      </w:pPr>
      <w:rPr>
        <w:rFonts w:ascii="Arial" w:hAnsi="Arial" w:cs="Times New Roman" w:hint="default"/>
      </w:rPr>
    </w:lvl>
    <w:lvl w:ilvl="1" w:tplc="6E60E6CA">
      <w:numFmt w:val="bullet"/>
      <w:lvlText w:val="•"/>
      <w:lvlJc w:val="left"/>
      <w:pPr>
        <w:tabs>
          <w:tab w:val="num" w:pos="1440"/>
        </w:tabs>
        <w:ind w:left="1440" w:hanging="360"/>
      </w:pPr>
      <w:rPr>
        <w:rFonts w:ascii="Arial" w:hAnsi="Arial" w:cs="Times New Roman" w:hint="default"/>
      </w:rPr>
    </w:lvl>
    <w:lvl w:ilvl="2" w:tplc="5F640B32">
      <w:start w:val="1"/>
      <w:numFmt w:val="bullet"/>
      <w:lvlText w:val="•"/>
      <w:lvlJc w:val="left"/>
      <w:pPr>
        <w:tabs>
          <w:tab w:val="num" w:pos="2160"/>
        </w:tabs>
        <w:ind w:left="2160" w:hanging="360"/>
      </w:pPr>
      <w:rPr>
        <w:rFonts w:ascii="Arial" w:hAnsi="Arial" w:cs="Times New Roman" w:hint="default"/>
      </w:rPr>
    </w:lvl>
    <w:lvl w:ilvl="3" w:tplc="D1204BE6">
      <w:start w:val="1"/>
      <w:numFmt w:val="bullet"/>
      <w:lvlText w:val="•"/>
      <w:lvlJc w:val="left"/>
      <w:pPr>
        <w:tabs>
          <w:tab w:val="num" w:pos="2880"/>
        </w:tabs>
        <w:ind w:left="2880" w:hanging="360"/>
      </w:pPr>
      <w:rPr>
        <w:rFonts w:ascii="Arial" w:hAnsi="Arial" w:cs="Times New Roman" w:hint="default"/>
      </w:rPr>
    </w:lvl>
    <w:lvl w:ilvl="4" w:tplc="1D964FFE">
      <w:start w:val="1"/>
      <w:numFmt w:val="bullet"/>
      <w:lvlText w:val="•"/>
      <w:lvlJc w:val="left"/>
      <w:pPr>
        <w:tabs>
          <w:tab w:val="num" w:pos="3600"/>
        </w:tabs>
        <w:ind w:left="3600" w:hanging="360"/>
      </w:pPr>
      <w:rPr>
        <w:rFonts w:ascii="Arial" w:hAnsi="Arial" w:cs="Times New Roman" w:hint="default"/>
      </w:rPr>
    </w:lvl>
    <w:lvl w:ilvl="5" w:tplc="38B0152A">
      <w:start w:val="1"/>
      <w:numFmt w:val="bullet"/>
      <w:lvlText w:val="•"/>
      <w:lvlJc w:val="left"/>
      <w:pPr>
        <w:tabs>
          <w:tab w:val="num" w:pos="4320"/>
        </w:tabs>
        <w:ind w:left="4320" w:hanging="360"/>
      </w:pPr>
      <w:rPr>
        <w:rFonts w:ascii="Arial" w:hAnsi="Arial" w:cs="Times New Roman" w:hint="default"/>
      </w:rPr>
    </w:lvl>
    <w:lvl w:ilvl="6" w:tplc="5394E888">
      <w:start w:val="1"/>
      <w:numFmt w:val="bullet"/>
      <w:lvlText w:val="•"/>
      <w:lvlJc w:val="left"/>
      <w:pPr>
        <w:tabs>
          <w:tab w:val="num" w:pos="5040"/>
        </w:tabs>
        <w:ind w:left="5040" w:hanging="360"/>
      </w:pPr>
      <w:rPr>
        <w:rFonts w:ascii="Arial" w:hAnsi="Arial" w:cs="Times New Roman" w:hint="default"/>
      </w:rPr>
    </w:lvl>
    <w:lvl w:ilvl="7" w:tplc="6E38C5BA">
      <w:start w:val="1"/>
      <w:numFmt w:val="bullet"/>
      <w:lvlText w:val="•"/>
      <w:lvlJc w:val="left"/>
      <w:pPr>
        <w:tabs>
          <w:tab w:val="num" w:pos="5760"/>
        </w:tabs>
        <w:ind w:left="5760" w:hanging="360"/>
      </w:pPr>
      <w:rPr>
        <w:rFonts w:ascii="Arial" w:hAnsi="Arial" w:cs="Times New Roman" w:hint="default"/>
      </w:rPr>
    </w:lvl>
    <w:lvl w:ilvl="8" w:tplc="1C427A36">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5C7F5C"/>
    <w:multiLevelType w:val="hybridMultilevel"/>
    <w:tmpl w:val="92DA53CA"/>
    <w:lvl w:ilvl="0" w:tplc="FD381400">
      <w:start w:val="1"/>
      <w:numFmt w:val="bullet"/>
      <w:lvlText w:val="•"/>
      <w:lvlJc w:val="left"/>
      <w:pPr>
        <w:tabs>
          <w:tab w:val="num" w:pos="720"/>
        </w:tabs>
        <w:ind w:left="720" w:hanging="360"/>
      </w:pPr>
      <w:rPr>
        <w:rFonts w:ascii="Arial" w:hAnsi="Arial" w:cs="Times New Roman" w:hint="default"/>
      </w:rPr>
    </w:lvl>
    <w:lvl w:ilvl="1" w:tplc="B5A891FE">
      <w:numFmt w:val="bullet"/>
      <w:lvlText w:val="•"/>
      <w:lvlJc w:val="left"/>
      <w:pPr>
        <w:tabs>
          <w:tab w:val="num" w:pos="1440"/>
        </w:tabs>
        <w:ind w:left="1440" w:hanging="360"/>
      </w:pPr>
      <w:rPr>
        <w:rFonts w:ascii="Arial" w:hAnsi="Arial" w:cs="Times New Roman" w:hint="default"/>
      </w:rPr>
    </w:lvl>
    <w:lvl w:ilvl="2" w:tplc="23A4CA02">
      <w:start w:val="1"/>
      <w:numFmt w:val="bullet"/>
      <w:lvlText w:val="•"/>
      <w:lvlJc w:val="left"/>
      <w:pPr>
        <w:tabs>
          <w:tab w:val="num" w:pos="2160"/>
        </w:tabs>
        <w:ind w:left="2160" w:hanging="360"/>
      </w:pPr>
      <w:rPr>
        <w:rFonts w:ascii="Arial" w:hAnsi="Arial" w:cs="Times New Roman" w:hint="default"/>
      </w:rPr>
    </w:lvl>
    <w:lvl w:ilvl="3" w:tplc="45D08E98">
      <w:start w:val="1"/>
      <w:numFmt w:val="bullet"/>
      <w:lvlText w:val="•"/>
      <w:lvlJc w:val="left"/>
      <w:pPr>
        <w:tabs>
          <w:tab w:val="num" w:pos="2880"/>
        </w:tabs>
        <w:ind w:left="2880" w:hanging="360"/>
      </w:pPr>
      <w:rPr>
        <w:rFonts w:ascii="Arial" w:hAnsi="Arial" w:cs="Times New Roman" w:hint="default"/>
      </w:rPr>
    </w:lvl>
    <w:lvl w:ilvl="4" w:tplc="CB389698">
      <w:start w:val="1"/>
      <w:numFmt w:val="bullet"/>
      <w:lvlText w:val="•"/>
      <w:lvlJc w:val="left"/>
      <w:pPr>
        <w:tabs>
          <w:tab w:val="num" w:pos="3600"/>
        </w:tabs>
        <w:ind w:left="3600" w:hanging="360"/>
      </w:pPr>
      <w:rPr>
        <w:rFonts w:ascii="Arial" w:hAnsi="Arial" w:cs="Times New Roman" w:hint="default"/>
      </w:rPr>
    </w:lvl>
    <w:lvl w:ilvl="5" w:tplc="B424797A">
      <w:start w:val="1"/>
      <w:numFmt w:val="bullet"/>
      <w:lvlText w:val="•"/>
      <w:lvlJc w:val="left"/>
      <w:pPr>
        <w:tabs>
          <w:tab w:val="num" w:pos="4320"/>
        </w:tabs>
        <w:ind w:left="4320" w:hanging="360"/>
      </w:pPr>
      <w:rPr>
        <w:rFonts w:ascii="Arial" w:hAnsi="Arial" w:cs="Times New Roman" w:hint="default"/>
      </w:rPr>
    </w:lvl>
    <w:lvl w:ilvl="6" w:tplc="E27A1F5A">
      <w:start w:val="1"/>
      <w:numFmt w:val="bullet"/>
      <w:lvlText w:val="•"/>
      <w:lvlJc w:val="left"/>
      <w:pPr>
        <w:tabs>
          <w:tab w:val="num" w:pos="5040"/>
        </w:tabs>
        <w:ind w:left="5040" w:hanging="360"/>
      </w:pPr>
      <w:rPr>
        <w:rFonts w:ascii="Arial" w:hAnsi="Arial" w:cs="Times New Roman" w:hint="default"/>
      </w:rPr>
    </w:lvl>
    <w:lvl w:ilvl="7" w:tplc="46A8315C">
      <w:start w:val="1"/>
      <w:numFmt w:val="bullet"/>
      <w:lvlText w:val="•"/>
      <w:lvlJc w:val="left"/>
      <w:pPr>
        <w:tabs>
          <w:tab w:val="num" w:pos="5760"/>
        </w:tabs>
        <w:ind w:left="5760" w:hanging="360"/>
      </w:pPr>
      <w:rPr>
        <w:rFonts w:ascii="Arial" w:hAnsi="Arial" w:cs="Times New Roman" w:hint="default"/>
      </w:rPr>
    </w:lvl>
    <w:lvl w:ilvl="8" w:tplc="EAF2ECB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F3B32"/>
    <w:multiLevelType w:val="multilevel"/>
    <w:tmpl w:val="588EC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930F88"/>
    <w:multiLevelType w:val="hybridMultilevel"/>
    <w:tmpl w:val="FBA22A88"/>
    <w:lvl w:ilvl="0" w:tplc="0809000F">
      <w:start w:val="1"/>
      <w:numFmt w:val="decimal"/>
      <w:lvlText w:val="%1."/>
      <w:lvlJc w:val="left"/>
      <w:pPr>
        <w:ind w:left="647" w:hanging="360"/>
      </w:pPr>
    </w:lvl>
    <w:lvl w:ilvl="1" w:tplc="08090019" w:tentative="1">
      <w:start w:val="1"/>
      <w:numFmt w:val="lowerLetter"/>
      <w:lvlText w:val="%2."/>
      <w:lvlJc w:val="left"/>
      <w:pPr>
        <w:ind w:left="1367" w:hanging="360"/>
      </w:pPr>
    </w:lvl>
    <w:lvl w:ilvl="2" w:tplc="0809001B" w:tentative="1">
      <w:start w:val="1"/>
      <w:numFmt w:val="lowerRoman"/>
      <w:lvlText w:val="%3."/>
      <w:lvlJc w:val="right"/>
      <w:pPr>
        <w:ind w:left="2087" w:hanging="180"/>
      </w:pPr>
    </w:lvl>
    <w:lvl w:ilvl="3" w:tplc="0809000F" w:tentative="1">
      <w:start w:val="1"/>
      <w:numFmt w:val="decimal"/>
      <w:lvlText w:val="%4."/>
      <w:lvlJc w:val="left"/>
      <w:pPr>
        <w:ind w:left="2807" w:hanging="360"/>
      </w:pPr>
    </w:lvl>
    <w:lvl w:ilvl="4" w:tplc="08090019" w:tentative="1">
      <w:start w:val="1"/>
      <w:numFmt w:val="lowerLetter"/>
      <w:lvlText w:val="%5."/>
      <w:lvlJc w:val="left"/>
      <w:pPr>
        <w:ind w:left="3527" w:hanging="360"/>
      </w:pPr>
    </w:lvl>
    <w:lvl w:ilvl="5" w:tplc="0809001B" w:tentative="1">
      <w:start w:val="1"/>
      <w:numFmt w:val="lowerRoman"/>
      <w:lvlText w:val="%6."/>
      <w:lvlJc w:val="right"/>
      <w:pPr>
        <w:ind w:left="4247" w:hanging="180"/>
      </w:pPr>
    </w:lvl>
    <w:lvl w:ilvl="6" w:tplc="0809000F" w:tentative="1">
      <w:start w:val="1"/>
      <w:numFmt w:val="decimal"/>
      <w:lvlText w:val="%7."/>
      <w:lvlJc w:val="left"/>
      <w:pPr>
        <w:ind w:left="4967" w:hanging="360"/>
      </w:pPr>
    </w:lvl>
    <w:lvl w:ilvl="7" w:tplc="08090019" w:tentative="1">
      <w:start w:val="1"/>
      <w:numFmt w:val="lowerLetter"/>
      <w:lvlText w:val="%8."/>
      <w:lvlJc w:val="left"/>
      <w:pPr>
        <w:ind w:left="5687" w:hanging="360"/>
      </w:pPr>
    </w:lvl>
    <w:lvl w:ilvl="8" w:tplc="0809001B" w:tentative="1">
      <w:start w:val="1"/>
      <w:numFmt w:val="lowerRoman"/>
      <w:lvlText w:val="%9."/>
      <w:lvlJc w:val="right"/>
      <w:pPr>
        <w:ind w:left="6407" w:hanging="180"/>
      </w:pPr>
    </w:lvl>
  </w:abstractNum>
  <w:abstractNum w:abstractNumId="6" w15:restartNumberingAfterBreak="0">
    <w:nsid w:val="1562039C"/>
    <w:multiLevelType w:val="multilevel"/>
    <w:tmpl w:val="46B2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B3BE4"/>
    <w:multiLevelType w:val="multilevel"/>
    <w:tmpl w:val="8AEC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8965A8"/>
    <w:multiLevelType w:val="hybridMultilevel"/>
    <w:tmpl w:val="436AA912"/>
    <w:lvl w:ilvl="0" w:tplc="97F87DF4">
      <w:start w:val="1"/>
      <w:numFmt w:val="bullet"/>
      <w:lvlText w:val="•"/>
      <w:lvlJc w:val="left"/>
      <w:pPr>
        <w:tabs>
          <w:tab w:val="num" w:pos="720"/>
        </w:tabs>
        <w:ind w:left="720" w:hanging="360"/>
      </w:pPr>
      <w:rPr>
        <w:rFonts w:ascii="Arial" w:hAnsi="Arial" w:cs="Times New Roman" w:hint="default"/>
      </w:rPr>
    </w:lvl>
    <w:lvl w:ilvl="1" w:tplc="68A297A6">
      <w:numFmt w:val="bullet"/>
      <w:lvlText w:val="•"/>
      <w:lvlJc w:val="left"/>
      <w:pPr>
        <w:tabs>
          <w:tab w:val="num" w:pos="1440"/>
        </w:tabs>
        <w:ind w:left="1440" w:hanging="360"/>
      </w:pPr>
      <w:rPr>
        <w:rFonts w:ascii="Arial" w:hAnsi="Arial" w:cs="Times New Roman" w:hint="default"/>
      </w:rPr>
    </w:lvl>
    <w:lvl w:ilvl="2" w:tplc="68AAE2D8">
      <w:numFmt w:val="bullet"/>
      <w:lvlText w:val="•"/>
      <w:lvlJc w:val="left"/>
      <w:pPr>
        <w:tabs>
          <w:tab w:val="num" w:pos="2160"/>
        </w:tabs>
        <w:ind w:left="2160" w:hanging="360"/>
      </w:pPr>
      <w:rPr>
        <w:rFonts w:ascii="Arial" w:hAnsi="Arial" w:cs="Times New Roman" w:hint="default"/>
      </w:rPr>
    </w:lvl>
    <w:lvl w:ilvl="3" w:tplc="05D89EB2">
      <w:start w:val="1"/>
      <w:numFmt w:val="bullet"/>
      <w:lvlText w:val="•"/>
      <w:lvlJc w:val="left"/>
      <w:pPr>
        <w:tabs>
          <w:tab w:val="num" w:pos="2880"/>
        </w:tabs>
        <w:ind w:left="2880" w:hanging="360"/>
      </w:pPr>
      <w:rPr>
        <w:rFonts w:ascii="Arial" w:hAnsi="Arial" w:cs="Times New Roman" w:hint="default"/>
      </w:rPr>
    </w:lvl>
    <w:lvl w:ilvl="4" w:tplc="A774B6B2">
      <w:start w:val="1"/>
      <w:numFmt w:val="bullet"/>
      <w:lvlText w:val="•"/>
      <w:lvlJc w:val="left"/>
      <w:pPr>
        <w:tabs>
          <w:tab w:val="num" w:pos="3600"/>
        </w:tabs>
        <w:ind w:left="3600" w:hanging="360"/>
      </w:pPr>
      <w:rPr>
        <w:rFonts w:ascii="Arial" w:hAnsi="Arial" w:cs="Times New Roman" w:hint="default"/>
      </w:rPr>
    </w:lvl>
    <w:lvl w:ilvl="5" w:tplc="5A501BFC">
      <w:start w:val="1"/>
      <w:numFmt w:val="bullet"/>
      <w:lvlText w:val="•"/>
      <w:lvlJc w:val="left"/>
      <w:pPr>
        <w:tabs>
          <w:tab w:val="num" w:pos="4320"/>
        </w:tabs>
        <w:ind w:left="4320" w:hanging="360"/>
      </w:pPr>
      <w:rPr>
        <w:rFonts w:ascii="Arial" w:hAnsi="Arial" w:cs="Times New Roman" w:hint="default"/>
      </w:rPr>
    </w:lvl>
    <w:lvl w:ilvl="6" w:tplc="17009DD8">
      <w:start w:val="1"/>
      <w:numFmt w:val="bullet"/>
      <w:lvlText w:val="•"/>
      <w:lvlJc w:val="left"/>
      <w:pPr>
        <w:tabs>
          <w:tab w:val="num" w:pos="5040"/>
        </w:tabs>
        <w:ind w:left="5040" w:hanging="360"/>
      </w:pPr>
      <w:rPr>
        <w:rFonts w:ascii="Arial" w:hAnsi="Arial" w:cs="Times New Roman" w:hint="default"/>
      </w:rPr>
    </w:lvl>
    <w:lvl w:ilvl="7" w:tplc="EF96D3B6">
      <w:start w:val="1"/>
      <w:numFmt w:val="bullet"/>
      <w:lvlText w:val="•"/>
      <w:lvlJc w:val="left"/>
      <w:pPr>
        <w:tabs>
          <w:tab w:val="num" w:pos="5760"/>
        </w:tabs>
        <w:ind w:left="5760" w:hanging="360"/>
      </w:pPr>
      <w:rPr>
        <w:rFonts w:ascii="Arial" w:hAnsi="Arial" w:cs="Times New Roman" w:hint="default"/>
      </w:rPr>
    </w:lvl>
    <w:lvl w:ilvl="8" w:tplc="AE325FA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6B40092"/>
    <w:multiLevelType w:val="hybridMultilevel"/>
    <w:tmpl w:val="2E2497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75237CD"/>
    <w:multiLevelType w:val="hybridMultilevel"/>
    <w:tmpl w:val="E5601AD0"/>
    <w:lvl w:ilvl="0" w:tplc="DF88F84A">
      <w:start w:val="1"/>
      <w:numFmt w:val="bullet"/>
      <w:lvlText w:val="•"/>
      <w:lvlJc w:val="left"/>
      <w:pPr>
        <w:tabs>
          <w:tab w:val="num" w:pos="720"/>
        </w:tabs>
        <w:ind w:left="720" w:hanging="360"/>
      </w:pPr>
      <w:rPr>
        <w:rFonts w:ascii="Arial" w:hAnsi="Arial" w:cs="Times New Roman" w:hint="default"/>
      </w:rPr>
    </w:lvl>
    <w:lvl w:ilvl="1" w:tplc="FBD23D0C">
      <w:numFmt w:val="bullet"/>
      <w:lvlText w:val="•"/>
      <w:lvlJc w:val="left"/>
      <w:pPr>
        <w:tabs>
          <w:tab w:val="num" w:pos="1440"/>
        </w:tabs>
        <w:ind w:left="1440" w:hanging="360"/>
      </w:pPr>
      <w:rPr>
        <w:rFonts w:ascii="Arial" w:hAnsi="Arial" w:cs="Times New Roman" w:hint="default"/>
      </w:rPr>
    </w:lvl>
    <w:lvl w:ilvl="2" w:tplc="5ED6B0A4">
      <w:numFmt w:val="bullet"/>
      <w:lvlText w:val="•"/>
      <w:lvlJc w:val="left"/>
      <w:pPr>
        <w:tabs>
          <w:tab w:val="num" w:pos="2160"/>
        </w:tabs>
        <w:ind w:left="2160" w:hanging="360"/>
      </w:pPr>
      <w:rPr>
        <w:rFonts w:ascii="Arial" w:hAnsi="Arial" w:cs="Times New Roman" w:hint="default"/>
      </w:rPr>
    </w:lvl>
    <w:lvl w:ilvl="3" w:tplc="03B6AB30">
      <w:start w:val="1"/>
      <w:numFmt w:val="bullet"/>
      <w:lvlText w:val="•"/>
      <w:lvlJc w:val="left"/>
      <w:pPr>
        <w:tabs>
          <w:tab w:val="num" w:pos="2880"/>
        </w:tabs>
        <w:ind w:left="2880" w:hanging="360"/>
      </w:pPr>
      <w:rPr>
        <w:rFonts w:ascii="Arial" w:hAnsi="Arial" w:cs="Times New Roman" w:hint="default"/>
      </w:rPr>
    </w:lvl>
    <w:lvl w:ilvl="4" w:tplc="E9A6272A">
      <w:start w:val="1"/>
      <w:numFmt w:val="bullet"/>
      <w:lvlText w:val="•"/>
      <w:lvlJc w:val="left"/>
      <w:pPr>
        <w:tabs>
          <w:tab w:val="num" w:pos="3600"/>
        </w:tabs>
        <w:ind w:left="3600" w:hanging="360"/>
      </w:pPr>
      <w:rPr>
        <w:rFonts w:ascii="Arial" w:hAnsi="Arial" w:cs="Times New Roman" w:hint="default"/>
      </w:rPr>
    </w:lvl>
    <w:lvl w:ilvl="5" w:tplc="E9E21EE8">
      <w:start w:val="1"/>
      <w:numFmt w:val="bullet"/>
      <w:lvlText w:val="•"/>
      <w:lvlJc w:val="left"/>
      <w:pPr>
        <w:tabs>
          <w:tab w:val="num" w:pos="4320"/>
        </w:tabs>
        <w:ind w:left="4320" w:hanging="360"/>
      </w:pPr>
      <w:rPr>
        <w:rFonts w:ascii="Arial" w:hAnsi="Arial" w:cs="Times New Roman" w:hint="default"/>
      </w:rPr>
    </w:lvl>
    <w:lvl w:ilvl="6" w:tplc="FC2268E0">
      <w:start w:val="1"/>
      <w:numFmt w:val="bullet"/>
      <w:lvlText w:val="•"/>
      <w:lvlJc w:val="left"/>
      <w:pPr>
        <w:tabs>
          <w:tab w:val="num" w:pos="5040"/>
        </w:tabs>
        <w:ind w:left="5040" w:hanging="360"/>
      </w:pPr>
      <w:rPr>
        <w:rFonts w:ascii="Arial" w:hAnsi="Arial" w:cs="Times New Roman" w:hint="default"/>
      </w:rPr>
    </w:lvl>
    <w:lvl w:ilvl="7" w:tplc="C326198A">
      <w:start w:val="1"/>
      <w:numFmt w:val="bullet"/>
      <w:lvlText w:val="•"/>
      <w:lvlJc w:val="left"/>
      <w:pPr>
        <w:tabs>
          <w:tab w:val="num" w:pos="5760"/>
        </w:tabs>
        <w:ind w:left="5760" w:hanging="360"/>
      </w:pPr>
      <w:rPr>
        <w:rFonts w:ascii="Arial" w:hAnsi="Arial" w:cs="Times New Roman" w:hint="default"/>
      </w:rPr>
    </w:lvl>
    <w:lvl w:ilvl="8" w:tplc="13645CC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869110A"/>
    <w:multiLevelType w:val="multilevel"/>
    <w:tmpl w:val="C4E074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5F47B3"/>
    <w:multiLevelType w:val="hybridMultilevel"/>
    <w:tmpl w:val="84368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25069F7"/>
    <w:multiLevelType w:val="multilevel"/>
    <w:tmpl w:val="0F9ADF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BD0500"/>
    <w:multiLevelType w:val="hybridMultilevel"/>
    <w:tmpl w:val="F54E5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840BB3"/>
    <w:multiLevelType w:val="multilevel"/>
    <w:tmpl w:val="F4E23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507B1D"/>
    <w:multiLevelType w:val="multilevel"/>
    <w:tmpl w:val="99583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A75784"/>
    <w:multiLevelType w:val="multilevel"/>
    <w:tmpl w:val="467A3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824C10"/>
    <w:multiLevelType w:val="multilevel"/>
    <w:tmpl w:val="8AEC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2C4004"/>
    <w:multiLevelType w:val="hybridMultilevel"/>
    <w:tmpl w:val="4D588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D3500F8"/>
    <w:multiLevelType w:val="multilevel"/>
    <w:tmpl w:val="C41AD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29080D"/>
    <w:multiLevelType w:val="hybridMultilevel"/>
    <w:tmpl w:val="F57E6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0602FC"/>
    <w:multiLevelType w:val="hybridMultilevel"/>
    <w:tmpl w:val="54B8AA32"/>
    <w:lvl w:ilvl="0" w:tplc="E2C41B3A">
      <w:start w:val="1"/>
      <w:numFmt w:val="bullet"/>
      <w:lvlText w:val="•"/>
      <w:lvlJc w:val="left"/>
      <w:pPr>
        <w:tabs>
          <w:tab w:val="num" w:pos="720"/>
        </w:tabs>
        <w:ind w:left="720" w:hanging="360"/>
      </w:pPr>
      <w:rPr>
        <w:rFonts w:ascii="Arial" w:hAnsi="Arial" w:hint="default"/>
      </w:rPr>
    </w:lvl>
    <w:lvl w:ilvl="1" w:tplc="FE0E0FAE">
      <w:numFmt w:val="bullet"/>
      <w:lvlText w:val="•"/>
      <w:lvlJc w:val="left"/>
      <w:pPr>
        <w:tabs>
          <w:tab w:val="num" w:pos="1440"/>
        </w:tabs>
        <w:ind w:left="1440" w:hanging="360"/>
      </w:pPr>
      <w:rPr>
        <w:rFonts w:ascii="Arial" w:hAnsi="Arial" w:hint="default"/>
      </w:rPr>
    </w:lvl>
    <w:lvl w:ilvl="2" w:tplc="07105ACC" w:tentative="1">
      <w:start w:val="1"/>
      <w:numFmt w:val="bullet"/>
      <w:lvlText w:val="•"/>
      <w:lvlJc w:val="left"/>
      <w:pPr>
        <w:tabs>
          <w:tab w:val="num" w:pos="2160"/>
        </w:tabs>
        <w:ind w:left="2160" w:hanging="360"/>
      </w:pPr>
      <w:rPr>
        <w:rFonts w:ascii="Arial" w:hAnsi="Arial" w:hint="default"/>
      </w:rPr>
    </w:lvl>
    <w:lvl w:ilvl="3" w:tplc="A9F6DE66" w:tentative="1">
      <w:start w:val="1"/>
      <w:numFmt w:val="bullet"/>
      <w:lvlText w:val="•"/>
      <w:lvlJc w:val="left"/>
      <w:pPr>
        <w:tabs>
          <w:tab w:val="num" w:pos="2880"/>
        </w:tabs>
        <w:ind w:left="2880" w:hanging="360"/>
      </w:pPr>
      <w:rPr>
        <w:rFonts w:ascii="Arial" w:hAnsi="Arial" w:hint="default"/>
      </w:rPr>
    </w:lvl>
    <w:lvl w:ilvl="4" w:tplc="87D8FC26" w:tentative="1">
      <w:start w:val="1"/>
      <w:numFmt w:val="bullet"/>
      <w:lvlText w:val="•"/>
      <w:lvlJc w:val="left"/>
      <w:pPr>
        <w:tabs>
          <w:tab w:val="num" w:pos="3600"/>
        </w:tabs>
        <w:ind w:left="3600" w:hanging="360"/>
      </w:pPr>
      <w:rPr>
        <w:rFonts w:ascii="Arial" w:hAnsi="Arial" w:hint="default"/>
      </w:rPr>
    </w:lvl>
    <w:lvl w:ilvl="5" w:tplc="FABED088" w:tentative="1">
      <w:start w:val="1"/>
      <w:numFmt w:val="bullet"/>
      <w:lvlText w:val="•"/>
      <w:lvlJc w:val="left"/>
      <w:pPr>
        <w:tabs>
          <w:tab w:val="num" w:pos="4320"/>
        </w:tabs>
        <w:ind w:left="4320" w:hanging="360"/>
      </w:pPr>
      <w:rPr>
        <w:rFonts w:ascii="Arial" w:hAnsi="Arial" w:hint="default"/>
      </w:rPr>
    </w:lvl>
    <w:lvl w:ilvl="6" w:tplc="74240224" w:tentative="1">
      <w:start w:val="1"/>
      <w:numFmt w:val="bullet"/>
      <w:lvlText w:val="•"/>
      <w:lvlJc w:val="left"/>
      <w:pPr>
        <w:tabs>
          <w:tab w:val="num" w:pos="5040"/>
        </w:tabs>
        <w:ind w:left="5040" w:hanging="360"/>
      </w:pPr>
      <w:rPr>
        <w:rFonts w:ascii="Arial" w:hAnsi="Arial" w:hint="default"/>
      </w:rPr>
    </w:lvl>
    <w:lvl w:ilvl="7" w:tplc="6D9C6420" w:tentative="1">
      <w:start w:val="1"/>
      <w:numFmt w:val="bullet"/>
      <w:lvlText w:val="•"/>
      <w:lvlJc w:val="left"/>
      <w:pPr>
        <w:tabs>
          <w:tab w:val="num" w:pos="5760"/>
        </w:tabs>
        <w:ind w:left="5760" w:hanging="360"/>
      </w:pPr>
      <w:rPr>
        <w:rFonts w:ascii="Arial" w:hAnsi="Arial" w:hint="default"/>
      </w:rPr>
    </w:lvl>
    <w:lvl w:ilvl="8" w:tplc="7BEA31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9969A9"/>
    <w:multiLevelType w:val="hybridMultilevel"/>
    <w:tmpl w:val="7A940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097F9E"/>
    <w:multiLevelType w:val="hybridMultilevel"/>
    <w:tmpl w:val="5A7E1E52"/>
    <w:lvl w:ilvl="0" w:tplc="7CC86610">
      <w:start w:val="1"/>
      <w:numFmt w:val="bullet"/>
      <w:lvlText w:val="•"/>
      <w:lvlJc w:val="left"/>
      <w:pPr>
        <w:tabs>
          <w:tab w:val="num" w:pos="568"/>
        </w:tabs>
        <w:ind w:left="568" w:hanging="360"/>
      </w:pPr>
      <w:rPr>
        <w:rFonts w:ascii="Arial" w:hAnsi="Arial" w:hint="default"/>
      </w:rPr>
    </w:lvl>
    <w:lvl w:ilvl="1" w:tplc="EAEAB900">
      <w:numFmt w:val="bullet"/>
      <w:lvlText w:val="•"/>
      <w:lvlJc w:val="left"/>
      <w:pPr>
        <w:tabs>
          <w:tab w:val="num" w:pos="1288"/>
        </w:tabs>
        <w:ind w:left="1288" w:hanging="360"/>
      </w:pPr>
      <w:rPr>
        <w:rFonts w:ascii="Arial" w:hAnsi="Arial" w:hint="default"/>
      </w:rPr>
    </w:lvl>
    <w:lvl w:ilvl="2" w:tplc="B330E46A">
      <w:start w:val="1"/>
      <w:numFmt w:val="bullet"/>
      <w:lvlText w:val="•"/>
      <w:lvlJc w:val="left"/>
      <w:pPr>
        <w:tabs>
          <w:tab w:val="num" w:pos="2008"/>
        </w:tabs>
        <w:ind w:left="2008" w:hanging="360"/>
      </w:pPr>
      <w:rPr>
        <w:rFonts w:ascii="Arial" w:hAnsi="Arial" w:hint="default"/>
      </w:rPr>
    </w:lvl>
    <w:lvl w:ilvl="3" w:tplc="35AC6602" w:tentative="1">
      <w:start w:val="1"/>
      <w:numFmt w:val="bullet"/>
      <w:lvlText w:val="•"/>
      <w:lvlJc w:val="left"/>
      <w:pPr>
        <w:tabs>
          <w:tab w:val="num" w:pos="2728"/>
        </w:tabs>
        <w:ind w:left="2728" w:hanging="360"/>
      </w:pPr>
      <w:rPr>
        <w:rFonts w:ascii="Arial" w:hAnsi="Arial" w:hint="default"/>
      </w:rPr>
    </w:lvl>
    <w:lvl w:ilvl="4" w:tplc="C630AAE6" w:tentative="1">
      <w:start w:val="1"/>
      <w:numFmt w:val="bullet"/>
      <w:lvlText w:val="•"/>
      <w:lvlJc w:val="left"/>
      <w:pPr>
        <w:tabs>
          <w:tab w:val="num" w:pos="3448"/>
        </w:tabs>
        <w:ind w:left="3448" w:hanging="360"/>
      </w:pPr>
      <w:rPr>
        <w:rFonts w:ascii="Arial" w:hAnsi="Arial" w:hint="default"/>
      </w:rPr>
    </w:lvl>
    <w:lvl w:ilvl="5" w:tplc="AAB2E2E4" w:tentative="1">
      <w:start w:val="1"/>
      <w:numFmt w:val="bullet"/>
      <w:lvlText w:val="•"/>
      <w:lvlJc w:val="left"/>
      <w:pPr>
        <w:tabs>
          <w:tab w:val="num" w:pos="4168"/>
        </w:tabs>
        <w:ind w:left="4168" w:hanging="360"/>
      </w:pPr>
      <w:rPr>
        <w:rFonts w:ascii="Arial" w:hAnsi="Arial" w:hint="default"/>
      </w:rPr>
    </w:lvl>
    <w:lvl w:ilvl="6" w:tplc="DA548CB0" w:tentative="1">
      <w:start w:val="1"/>
      <w:numFmt w:val="bullet"/>
      <w:lvlText w:val="•"/>
      <w:lvlJc w:val="left"/>
      <w:pPr>
        <w:tabs>
          <w:tab w:val="num" w:pos="4888"/>
        </w:tabs>
        <w:ind w:left="4888" w:hanging="360"/>
      </w:pPr>
      <w:rPr>
        <w:rFonts w:ascii="Arial" w:hAnsi="Arial" w:hint="default"/>
      </w:rPr>
    </w:lvl>
    <w:lvl w:ilvl="7" w:tplc="DE7CB9EE" w:tentative="1">
      <w:start w:val="1"/>
      <w:numFmt w:val="bullet"/>
      <w:lvlText w:val="•"/>
      <w:lvlJc w:val="left"/>
      <w:pPr>
        <w:tabs>
          <w:tab w:val="num" w:pos="5608"/>
        </w:tabs>
        <w:ind w:left="5608" w:hanging="360"/>
      </w:pPr>
      <w:rPr>
        <w:rFonts w:ascii="Arial" w:hAnsi="Arial" w:hint="default"/>
      </w:rPr>
    </w:lvl>
    <w:lvl w:ilvl="8" w:tplc="5D421CDC" w:tentative="1">
      <w:start w:val="1"/>
      <w:numFmt w:val="bullet"/>
      <w:lvlText w:val="•"/>
      <w:lvlJc w:val="left"/>
      <w:pPr>
        <w:tabs>
          <w:tab w:val="num" w:pos="6328"/>
        </w:tabs>
        <w:ind w:left="6328" w:hanging="360"/>
      </w:pPr>
      <w:rPr>
        <w:rFonts w:ascii="Arial" w:hAnsi="Arial" w:hint="default"/>
      </w:rPr>
    </w:lvl>
  </w:abstractNum>
  <w:abstractNum w:abstractNumId="35"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15"/>
  </w:num>
  <w:num w:numId="2" w16cid:durableId="135219078">
    <w:abstractNumId w:val="18"/>
  </w:num>
  <w:num w:numId="3" w16cid:durableId="1130828869">
    <w:abstractNumId w:val="3"/>
  </w:num>
  <w:num w:numId="4" w16cid:durableId="586613930">
    <w:abstractNumId w:val="27"/>
  </w:num>
  <w:num w:numId="5" w16cid:durableId="1616861889">
    <w:abstractNumId w:val="19"/>
  </w:num>
  <w:num w:numId="6" w16cid:durableId="1532567702">
    <w:abstractNumId w:val="8"/>
  </w:num>
  <w:num w:numId="7" w16cid:durableId="5256778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994112">
    <w:abstractNumId w:val="31"/>
  </w:num>
  <w:num w:numId="10" w16cid:durableId="239604866">
    <w:abstractNumId w:val="0"/>
  </w:num>
  <w:num w:numId="11" w16cid:durableId="916594819">
    <w:abstractNumId w:val="24"/>
  </w:num>
  <w:num w:numId="12" w16cid:durableId="361519710">
    <w:abstractNumId w:val="9"/>
  </w:num>
  <w:num w:numId="13" w16cid:durableId="1692338007">
    <w:abstractNumId w:val="17"/>
  </w:num>
  <w:num w:numId="14" w16cid:durableId="1759862610">
    <w:abstractNumId w:val="22"/>
  </w:num>
  <w:num w:numId="15" w16cid:durableId="2077051609">
    <w:abstractNumId w:val="14"/>
  </w:num>
  <w:num w:numId="16" w16cid:durableId="959992484">
    <w:abstractNumId w:val="6"/>
  </w:num>
  <w:num w:numId="17" w16cid:durableId="1321080008">
    <w:abstractNumId w:val="26"/>
  </w:num>
  <w:num w:numId="18" w16cid:durableId="262764754">
    <w:abstractNumId w:val="35"/>
  </w:num>
  <w:num w:numId="19" w16cid:durableId="1304700218">
    <w:abstractNumId w:val="34"/>
  </w:num>
  <w:num w:numId="20" w16cid:durableId="1525702655">
    <w:abstractNumId w:val="7"/>
  </w:num>
  <w:num w:numId="21" w16cid:durableId="684091985">
    <w:abstractNumId w:val="12"/>
  </w:num>
  <w:num w:numId="22" w16cid:durableId="1251425517">
    <w:abstractNumId w:val="2"/>
  </w:num>
  <w:num w:numId="23" w16cid:durableId="382675803">
    <w:abstractNumId w:val="10"/>
  </w:num>
  <w:num w:numId="24" w16cid:durableId="169874409">
    <w:abstractNumId w:val="1"/>
  </w:num>
  <w:num w:numId="25" w16cid:durableId="2047412725">
    <w:abstractNumId w:val="1"/>
  </w:num>
  <w:num w:numId="26" w16cid:durableId="884365422">
    <w:abstractNumId w:val="1"/>
  </w:num>
  <w:num w:numId="27" w16cid:durableId="909771524">
    <w:abstractNumId w:val="30"/>
  </w:num>
  <w:num w:numId="28" w16cid:durableId="1651785403">
    <w:abstractNumId w:val="33"/>
  </w:num>
  <w:num w:numId="29" w16cid:durableId="921917716">
    <w:abstractNumId w:val="16"/>
  </w:num>
  <w:num w:numId="30" w16cid:durableId="847327426">
    <w:abstractNumId w:val="21"/>
  </w:num>
  <w:num w:numId="31" w16cid:durableId="205022766">
    <w:abstractNumId w:val="32"/>
  </w:num>
  <w:num w:numId="32" w16cid:durableId="1091855195">
    <w:abstractNumId w:val="23"/>
  </w:num>
  <w:num w:numId="33" w16cid:durableId="1809471322">
    <w:abstractNumId w:val="29"/>
  </w:num>
  <w:num w:numId="34" w16cid:durableId="588543175">
    <w:abstractNumId w:val="13"/>
  </w:num>
  <w:num w:numId="35" w16cid:durableId="1264722041">
    <w:abstractNumId w:val="4"/>
  </w:num>
  <w:num w:numId="36" w16cid:durableId="1761754615">
    <w:abstractNumId w:val="25"/>
  </w:num>
  <w:num w:numId="37" w16cid:durableId="940843748">
    <w:abstractNumId w:val="15"/>
  </w:num>
  <w:num w:numId="38" w16cid:durableId="1145589789">
    <w:abstractNumId w:val="15"/>
  </w:num>
  <w:num w:numId="39" w16cid:durableId="1291478353">
    <w:abstractNumId w:val="15"/>
  </w:num>
  <w:num w:numId="40" w16cid:durableId="296227235">
    <w:abstractNumId w:val="15"/>
  </w:num>
  <w:num w:numId="41" w16cid:durableId="455680926">
    <w:abstractNumId w:val="15"/>
  </w:num>
  <w:num w:numId="42" w16cid:durableId="382875305">
    <w:abstractNumId w:val="15"/>
  </w:num>
  <w:num w:numId="43" w16cid:durableId="1695033486">
    <w:abstractNumId w:val="15"/>
  </w:num>
  <w:num w:numId="44" w16cid:durableId="1205292784">
    <w:abstractNumId w:val="15"/>
  </w:num>
  <w:num w:numId="45" w16cid:durableId="1626235353">
    <w:abstractNumId w:val="5"/>
  </w:num>
  <w:num w:numId="46" w16cid:durableId="276302493">
    <w:abstractNumId w:val="15"/>
  </w:num>
  <w:num w:numId="47" w16cid:durableId="1999651656">
    <w:abstractNumId w:val="15"/>
  </w:num>
  <w:num w:numId="48" w16cid:durableId="1935435940">
    <w:abstractNumId w:val="15"/>
  </w:num>
  <w:num w:numId="49" w16cid:durableId="128981985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05F6"/>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1EC9"/>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66AC"/>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1D"/>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3511"/>
    <w:rsid w:val="002542F0"/>
    <w:rsid w:val="00254342"/>
    <w:rsid w:val="002551BD"/>
    <w:rsid w:val="002552DC"/>
    <w:rsid w:val="0025533B"/>
    <w:rsid w:val="00255FCA"/>
    <w:rsid w:val="002562B8"/>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BE5"/>
    <w:rsid w:val="002A3EC0"/>
    <w:rsid w:val="002A41F6"/>
    <w:rsid w:val="002A4708"/>
    <w:rsid w:val="002A4F76"/>
    <w:rsid w:val="002A5217"/>
    <w:rsid w:val="002A5A40"/>
    <w:rsid w:val="002A5EB7"/>
    <w:rsid w:val="002A607D"/>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715"/>
    <w:rsid w:val="002C0004"/>
    <w:rsid w:val="002C0C4B"/>
    <w:rsid w:val="002C145C"/>
    <w:rsid w:val="002C167E"/>
    <w:rsid w:val="002C1C10"/>
    <w:rsid w:val="002C1DE6"/>
    <w:rsid w:val="002C1EE8"/>
    <w:rsid w:val="002C1EEA"/>
    <w:rsid w:val="002C2C55"/>
    <w:rsid w:val="002C3064"/>
    <w:rsid w:val="002C33D3"/>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50CE"/>
    <w:rsid w:val="00315AAB"/>
    <w:rsid w:val="00315ED5"/>
    <w:rsid w:val="003175E1"/>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ABC"/>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3BB"/>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83D"/>
    <w:rsid w:val="004C2047"/>
    <w:rsid w:val="004C2519"/>
    <w:rsid w:val="004C309D"/>
    <w:rsid w:val="004C38E2"/>
    <w:rsid w:val="004C394F"/>
    <w:rsid w:val="004C3EC7"/>
    <w:rsid w:val="004C3EEE"/>
    <w:rsid w:val="004C452F"/>
    <w:rsid w:val="004C483D"/>
    <w:rsid w:val="004C49EA"/>
    <w:rsid w:val="004C4D15"/>
    <w:rsid w:val="004C5D56"/>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2C3"/>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0B63"/>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831"/>
    <w:rsid w:val="00647B40"/>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592A"/>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F7C"/>
    <w:rsid w:val="0066699A"/>
    <w:rsid w:val="00666B60"/>
    <w:rsid w:val="00666DFC"/>
    <w:rsid w:val="00666EBB"/>
    <w:rsid w:val="0066779E"/>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016"/>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322"/>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3DD4"/>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022"/>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828"/>
    <w:rsid w:val="00742370"/>
    <w:rsid w:val="00742A6A"/>
    <w:rsid w:val="00742B44"/>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2145"/>
    <w:rsid w:val="0076235B"/>
    <w:rsid w:val="007626D0"/>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FAA"/>
    <w:rsid w:val="007D54F8"/>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6BD"/>
    <w:rsid w:val="00834923"/>
    <w:rsid w:val="008350C6"/>
    <w:rsid w:val="00835861"/>
    <w:rsid w:val="00835972"/>
    <w:rsid w:val="008359EB"/>
    <w:rsid w:val="00836536"/>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6EBF"/>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8C8"/>
    <w:rsid w:val="008B6A40"/>
    <w:rsid w:val="008B72EC"/>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3116"/>
    <w:rsid w:val="008D4213"/>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F1B"/>
    <w:rsid w:val="0091601C"/>
    <w:rsid w:val="009160DF"/>
    <w:rsid w:val="009162C7"/>
    <w:rsid w:val="00916EC2"/>
    <w:rsid w:val="009176FD"/>
    <w:rsid w:val="009177C8"/>
    <w:rsid w:val="00917C05"/>
    <w:rsid w:val="00920EDA"/>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3F7"/>
    <w:rsid w:val="00A03967"/>
    <w:rsid w:val="00A03978"/>
    <w:rsid w:val="00A03AB1"/>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49"/>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38BD"/>
    <w:rsid w:val="00A23A21"/>
    <w:rsid w:val="00A23C1F"/>
    <w:rsid w:val="00A23DCA"/>
    <w:rsid w:val="00A240D8"/>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359"/>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AA2"/>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45A"/>
    <w:rsid w:val="00BA4641"/>
    <w:rsid w:val="00BA4A54"/>
    <w:rsid w:val="00BA4AF0"/>
    <w:rsid w:val="00BA5E48"/>
    <w:rsid w:val="00BA6ACA"/>
    <w:rsid w:val="00BA6B30"/>
    <w:rsid w:val="00BA7205"/>
    <w:rsid w:val="00BA76A9"/>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54F"/>
    <w:rsid w:val="00BB785D"/>
    <w:rsid w:val="00BC0012"/>
    <w:rsid w:val="00BC0058"/>
    <w:rsid w:val="00BC07D4"/>
    <w:rsid w:val="00BC0A5D"/>
    <w:rsid w:val="00BC0BE3"/>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7012"/>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177"/>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504B"/>
    <w:rsid w:val="00CB53D3"/>
    <w:rsid w:val="00CB5BA3"/>
    <w:rsid w:val="00CB5BAF"/>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4B8"/>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79F"/>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3DA"/>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55E0"/>
    <w:rsid w:val="00DD6765"/>
    <w:rsid w:val="00DD7442"/>
    <w:rsid w:val="00DD7544"/>
    <w:rsid w:val="00DD7859"/>
    <w:rsid w:val="00DD7E61"/>
    <w:rsid w:val="00DE026A"/>
    <w:rsid w:val="00DE0BED"/>
    <w:rsid w:val="00DE18A3"/>
    <w:rsid w:val="00DE1904"/>
    <w:rsid w:val="00DE1DAA"/>
    <w:rsid w:val="00DE1E7F"/>
    <w:rsid w:val="00DE3817"/>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10"/>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666"/>
    <w:rsid w:val="00E068BC"/>
    <w:rsid w:val="00E0708E"/>
    <w:rsid w:val="00E073F0"/>
    <w:rsid w:val="00E07B9D"/>
    <w:rsid w:val="00E10761"/>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70AB"/>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989"/>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8"/>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08C"/>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2284</Words>
  <Characters>14881</Characters>
  <Application>Microsoft Office Word</Application>
  <DocSecurity>0</DocSecurity>
  <Lines>291</Lines>
  <Paragraphs>199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16966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78</cp:revision>
  <cp:lastPrinted>2016-06-20T05:35:00Z</cp:lastPrinted>
  <dcterms:created xsi:type="dcterms:W3CDTF">2026-01-22T09:44:00Z</dcterms:created>
  <dcterms:modified xsi:type="dcterms:W3CDTF">2026-01-30T08:30:00Z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